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«УТВЕРЖДАЮ»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</w:t>
      </w:r>
      <w:r>
        <w:rPr>
          <w:rFonts w:eastAsia="Calibri"/>
          <w:sz w:val="26"/>
          <w:szCs w:val="26"/>
        </w:rPr>
        <w:t>иректор Центрального филиала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АО «ТК РусГидро»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</w:t>
      </w:r>
      <w:r>
        <w:rPr>
          <w:rFonts w:eastAsia="Calibri"/>
          <w:sz w:val="26"/>
          <w:szCs w:val="26"/>
        </w:rPr>
        <w:t>К.А. Михайлов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«___» _______________ 2026 год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bookmarkStart w:id="0" w:name="_Toc1375545841"/>
      <w:bookmarkStart w:id="1" w:name="_Toc1398562871"/>
      <w:bookmarkStart w:id="2" w:name="_Toc1416967041"/>
      <w:bookmarkStart w:id="3" w:name="_Toc1375545841"/>
      <w:bookmarkStart w:id="4" w:name="_Toc1398562871"/>
      <w:bookmarkStart w:id="5" w:name="_Toc1416967041"/>
      <w:bookmarkEnd w:id="3"/>
      <w:bookmarkEnd w:id="4"/>
      <w:bookmarkEnd w:id="5"/>
    </w:p>
    <w:p>
      <w:pPr>
        <w:pStyle w:val="Normal"/>
        <w:keepNext w:val="true"/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sz w:val="26"/>
          <w:szCs w:val="26"/>
        </w:rPr>
        <w:t xml:space="preserve">ОКПД2: 49.41.20.000 Оказание транспортных услуг </w:t>
      </w:r>
      <w:r>
        <w:rPr>
          <w:rFonts w:eastAsia="Calibri"/>
          <w:sz w:val="26"/>
          <w:szCs w:val="26"/>
        </w:rPr>
        <w:t>д</w:t>
      </w:r>
      <w:r>
        <w:rPr>
          <w:rFonts w:eastAsia="Calibri"/>
          <w:sz w:val="26"/>
          <w:szCs w:val="26"/>
        </w:rPr>
        <w:t>линнорукий экскаватор</w:t>
      </w:r>
      <w:r>
        <w:rPr>
          <w:rFonts w:eastAsia="Calibri"/>
          <w:sz w:val="26"/>
          <w:szCs w:val="26"/>
        </w:rPr>
        <w:t>ом</w:t>
      </w:r>
      <w:r>
        <w:rPr>
          <w:rFonts w:eastAsia="Calibri"/>
          <w:sz w:val="26"/>
          <w:szCs w:val="26"/>
        </w:rPr>
        <w:t xml:space="preserve"> с экипажем для  нужд Загорского строительного участка </w:t>
      </w:r>
    </w:p>
    <w:p>
      <w:pPr>
        <w:pStyle w:val="Normal"/>
        <w:jc w:val="center"/>
        <w:rPr/>
      </w:pPr>
      <w:r>
        <w:rPr>
          <w:rFonts w:eastAsia="Calibri"/>
          <w:sz w:val="26"/>
          <w:szCs w:val="26"/>
        </w:rPr>
        <w:t>Центрального филиала АО "ТК РусГидро"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>ЛОТ:  №</w:t>
      </w: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>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eastAsia="Calibri"/>
          <w:sz w:val="26"/>
          <w:szCs w:val="26"/>
        </w:rPr>
        <w:br/>
      </w:r>
    </w:p>
    <w:p>
      <w:pPr>
        <w:pStyle w:val="Normal"/>
        <w:jc w:val="center"/>
        <w:rPr>
          <w:rFonts w:eastAsia="Calibri"/>
          <w:color w:val="000000"/>
          <w:sz w:val="26"/>
          <w:szCs w:val="26"/>
          <w:shd w:fill="FFFFFF" w:val="clear"/>
        </w:rPr>
      </w:pPr>
      <w:r>
        <w:rPr>
          <w:rFonts w:eastAsia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eastAsia="Calibri"/>
          <w:sz w:val="26"/>
          <w:szCs w:val="26"/>
          <w:shd w:fill="FFFF00" w:val="clear"/>
        </w:rPr>
      </w:pPr>
      <w:r>
        <w:rPr>
          <w:rFonts w:eastAsia="Calibri"/>
          <w:sz w:val="26"/>
          <w:szCs w:val="26"/>
          <w:shd w:fill="FFFF00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194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b w:val="false"/>
              <w:bCs w:val="false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b w:val="false"/>
              <w:bCs w:val="false"/>
              <w:vanish w:val="false"/>
            </w:rPr>
            <w:fldChar w:fldCharType="separate"/>
          </w:r>
          <w:hyperlink w:anchor="_Toc190946759">
            <w:r>
              <w:rPr>
                <w:webHidden/>
                <w:rStyle w:val="Style14"/>
                <w:b w:val="false"/>
                <w:bCs w:val="false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0">
            <w:r>
              <w:rPr>
                <w:webHidden/>
                <w:rStyle w:val="Style14"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1">
            <w:r>
              <w:rPr>
                <w:webHidden/>
                <w:rStyle w:val="Style14"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3">
            <w:r>
              <w:rPr>
                <w:webHidden/>
                <w:rStyle w:val="Style14"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</w:hyperlink>
          <w:hyperlink w:anchor="_Toc19094676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194" w:leader="dot"/>
            </w:tabs>
            <w:rPr/>
          </w:pPr>
          <w:hyperlink w:anchor="_Toc190946766">
            <w:r>
              <w:rPr>
                <w:webHidden/>
                <w:rStyle w:val="Style14"/>
                <w:b w:val="false"/>
                <w:bCs w:val="false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7">
            <w:r>
              <w:rPr>
                <w:webHidden/>
                <w:rStyle w:val="Style14"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194" w:leader="dot"/>
            </w:tabs>
            <w:rPr/>
          </w:pPr>
          <w:hyperlink w:anchor="_Toc19094676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194" w:leader="dot"/>
            </w:tabs>
            <w:rPr/>
          </w:pPr>
          <w:hyperlink w:anchor="_Toc190946771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3. 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73">
            <w:r>
              <w:rPr>
                <w:webHidden/>
                <w:rStyle w:val="Style14"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3. Требования к документации по ценообразованию на этапе заключения (исполнения) договора</w:t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b w:val="false"/>
              <w:bCs w:val="false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left" w:pos="560" w:leader="none"/>
          <w:tab w:val="right" w:pos="10194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 w:val="false"/>
        </w:rPr>
      </w:pPr>
      <w:bookmarkStart w:id="6" w:name="_Toc150444132"/>
      <w:bookmarkStart w:id="7" w:name="_Toc190946759"/>
      <w:r>
        <w:rPr>
          <w:b w:val="false"/>
          <w:lang w:val="ru-RU"/>
        </w:rPr>
        <w:t>Общие сведения</w:t>
      </w:r>
      <w:bookmarkEnd w:id="6"/>
      <w:bookmarkEnd w:id="7"/>
    </w:p>
    <w:p>
      <w:pPr>
        <w:pStyle w:val="Heading4"/>
        <w:numPr>
          <w:ilvl w:val="1"/>
          <w:numId w:val="3"/>
        </w:numPr>
        <w:ind w:left="1141" w:hanging="432"/>
        <w:rPr>
          <w:b w:val="false"/>
          <w:bCs w:val="false"/>
        </w:rPr>
      </w:pPr>
      <w:bookmarkStart w:id="8" w:name="_Toc130396882"/>
      <w:bookmarkStart w:id="9" w:name="_Toc46743505"/>
      <w:bookmarkStart w:id="10" w:name="_Toc150444133"/>
      <w:bookmarkStart w:id="11" w:name="_Toc190946760"/>
      <w:r>
        <w:rPr>
          <w:b w:val="false"/>
          <w:bCs w:val="false"/>
        </w:rPr>
        <w:t>Обозначения и сокращения</w:t>
      </w:r>
      <w:bookmarkEnd w:id="8"/>
      <w:bookmarkEnd w:id="9"/>
      <w:bookmarkEnd w:id="10"/>
      <w:bookmarkEnd w:id="11"/>
    </w:p>
    <w:tbl>
      <w:tblPr>
        <w:tblW w:w="99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76"/>
        <w:gridCol w:w="7244"/>
      </w:tblGrid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/>
              <w:t>АО «ТК РусГидро»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Минтранс 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Министерство транспорта Российской Федерации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ФЗ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spacing w:val="-2"/>
              </w:rPr>
              <w:t>СНиП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spacing w:val="-2"/>
              </w:rPr>
              <w:t>ГОСТ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Государственный стандарт</w:t>
            </w:r>
          </w:p>
        </w:tc>
      </w:tr>
    </w:tbl>
    <w:p>
      <w:pPr>
        <w:pStyle w:val="Normal"/>
        <w:ind w:left="1141" w:hanging="432"/>
        <w:rPr/>
      </w:pPr>
      <w:r>
        <w:rPr/>
      </w:r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12" w:name="_Toc46743506"/>
      <w:bookmarkStart w:id="13" w:name="_Toc130396883"/>
      <w:bookmarkStart w:id="14" w:name="_Toc150444134"/>
      <w:bookmarkStart w:id="15" w:name="_Toc190946761"/>
      <w:r>
        <w:rPr>
          <w:sz w:val="26"/>
          <w:szCs w:val="26"/>
        </w:rPr>
        <w:t>Наименование закупаемой продукции</w:t>
      </w:r>
      <w:bookmarkEnd w:id="12"/>
      <w:bookmarkEnd w:id="13"/>
      <w:bookmarkEnd w:id="14"/>
      <w:bookmarkEnd w:id="15"/>
    </w:p>
    <w:p>
      <w:pPr>
        <w:pStyle w:val="Heading4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lang w:val="ru-RU"/>
        </w:rPr>
        <w:t xml:space="preserve">ОКПД2: 49.41.20.000 Оказание транспортных услуг длиннорукий экскаватором с экипажем для  нужд Загорского строительного участка </w:t>
      </w:r>
    </w:p>
    <w:p>
      <w:pPr>
        <w:pStyle w:val="Normal"/>
        <w:tabs>
          <w:tab w:val="clear" w:pos="708"/>
        </w:tabs>
        <w:ind w:left="0" w:hanging="0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lang w:val="ru-RU"/>
        </w:rPr>
        <w:t>Центрального филиала АО "ТК РусГидро"</w:t>
      </w:r>
      <w:bookmarkStart w:id="16" w:name="_Toc150444135"/>
      <w:bookmarkStart w:id="17" w:name="_Toc130396884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18" w:name="_Toc190946763"/>
      <w:bookmarkStart w:id="19" w:name="_Toc46743507"/>
      <w:r>
        <w:rPr/>
        <w:t xml:space="preserve">Цель </w:t>
      </w:r>
      <w:bookmarkEnd w:id="19"/>
      <w:r>
        <w:rPr>
          <w:sz w:val="26"/>
          <w:szCs w:val="26"/>
        </w:rPr>
        <w:t>оказания</w:t>
      </w:r>
      <w:r>
        <w:rPr/>
        <w:t xml:space="preserve"> услуг</w:t>
      </w:r>
      <w:bookmarkEnd w:id="16"/>
      <w:bookmarkEnd w:id="17"/>
      <w:bookmarkEnd w:id="18"/>
      <w:r>
        <w:rPr/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20" w:name="__RefHeading___Toc7977_238034913"/>
      <w:bookmarkStart w:id="21" w:name="_Toc150444137"/>
      <w:bookmarkEnd w:id="20"/>
      <w:r>
        <w:rPr>
          <w:b w:val="false"/>
          <w:sz w:val="26"/>
          <w:szCs w:val="26"/>
          <w:lang w:val="ru-RU"/>
        </w:rPr>
        <w:tab/>
      </w:r>
      <w:bookmarkStart w:id="22" w:name="_Toc190946764"/>
      <w:r>
        <w:rPr>
          <w:b w:val="false"/>
          <w:sz w:val="26"/>
          <w:szCs w:val="26"/>
          <w:lang w:val="ru-RU"/>
        </w:rPr>
        <w:t>Целью является оказание услуг для исполнения обязательств по договорам, заключенным между АО «ТК РусГидро» и АО «Загорская ГАЭС-2».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bookmarkStart w:id="23" w:name="_Toc190946765"/>
      <w:r>
        <w:rPr>
          <w:bCs/>
          <w:sz w:val="24"/>
          <w:szCs w:val="24"/>
        </w:rPr>
        <w:t>Таблица 1</w:t>
      </w:r>
      <w:r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>Перечень объектов заказчика</w:t>
      </w:r>
      <w:bookmarkEnd w:id="21"/>
      <w:bookmarkEnd w:id="23"/>
    </w:p>
    <w:tbl>
      <w:tblPr>
        <w:tblW w:w="10344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64"/>
        <w:gridCol w:w="2126"/>
        <w:gridCol w:w="2537"/>
        <w:gridCol w:w="200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0" w:hanging="0"/>
              <w:jc w:val="left"/>
              <w:rPr>
                <w:b w:val="false"/>
              </w:rPr>
            </w:pPr>
            <w:r>
              <w:rPr>
                <w:b w:val="false"/>
              </w:rPr>
              <w:t xml:space="preserve">ОКПД2: 49.41.20.000 Оказание транспортных услуг длиннорукий экскаватором с экипажем для  нужд Загорского строительного участка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120" w:after="60"/>
              <w:ind w:left="0" w:hanging="0"/>
              <w:jc w:val="left"/>
              <w:rPr>
                <w:b w:val="false"/>
              </w:rPr>
            </w:pPr>
            <w:r>
              <w:rPr>
                <w:b w:val="false"/>
              </w:rPr>
              <w:t>Центрального филиала АО "ТК РусГидро"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zh-CN"/>
              </w:rPr>
              <w:t>Загорская гидроаккумулирующая электростанция (АО «Загорская ГАЭС-2»). Российская Федерация, Московская область, г. Сергиев Посад, рабочий поселок Богородское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Сооружения нижнего аккумулирующего бассейна Загорской ГАЭС-2 (комплекс работ по 2.01. этапу строительства)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выполняются для нужд АО «Загорская ГАЭС-2»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bCs/>
          <w:i w:val="false"/>
          <w:i w:val="false"/>
          <w:iCs w:val="false"/>
        </w:rPr>
      </w:pPr>
      <w:bookmarkStart w:id="24" w:name="_Toc150444138"/>
      <w:bookmarkStart w:id="25" w:name="_Toc51339693"/>
      <w:bookmarkStart w:id="26" w:name="_Toc190946766"/>
      <w:r>
        <w:rPr>
          <w:b/>
          <w:bCs/>
          <w:i w:val="false"/>
          <w:iCs w:val="false"/>
          <w:lang w:val="ru-RU"/>
        </w:rPr>
        <w:t>Требования</w:t>
      </w:r>
      <w:r>
        <w:rPr>
          <w:b/>
          <w:bCs/>
          <w:i w:val="false"/>
          <w:iCs w:val="false"/>
        </w:rPr>
        <w:t xml:space="preserve"> к продукции</w:t>
      </w:r>
      <w:bookmarkEnd w:id="24"/>
      <w:bookmarkEnd w:id="25"/>
      <w:bookmarkEnd w:id="26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27" w:name="_Toc150444139"/>
      <w:bookmarkStart w:id="28" w:name="_Toc130396890"/>
      <w:bookmarkStart w:id="29" w:name="_Toc19094676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  <w:bookmarkEnd w:id="28"/>
      <w:bookmarkEnd w:id="29"/>
    </w:p>
    <w:p>
      <w:pPr>
        <w:pStyle w:val="Heading3"/>
        <w:numPr>
          <w:ilvl w:val="2"/>
          <w:numId w:val="3"/>
        </w:numPr>
        <w:rPr>
          <w:bCs/>
        </w:rPr>
      </w:pPr>
      <w:bookmarkStart w:id="30" w:name="_Toc190946768"/>
      <w:bookmarkStart w:id="31" w:name="_Toc130396891"/>
      <w:bookmarkStart w:id="32" w:name="_Toc150444140"/>
      <w:r>
        <w:rPr>
          <w:bCs/>
          <w:lang w:val="ru-RU"/>
        </w:rPr>
        <w:t>Требования к перечню и объему услуг</w:t>
      </w:r>
      <w:bookmarkEnd w:id="30"/>
      <w:bookmarkEnd w:id="31"/>
      <w:bookmarkEnd w:id="3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r>
        <w:rPr>
          <w:bCs/>
          <w:sz w:val="24"/>
          <w:szCs w:val="24"/>
        </w:rPr>
        <w:t xml:space="preserve">     </w:t>
      </w:r>
      <w:bookmarkStart w:id="33" w:name="_Toc54643705"/>
      <w:bookmarkStart w:id="34" w:name="_Toc150444141"/>
      <w:bookmarkStart w:id="35" w:name="_Toc190946769"/>
      <w:bookmarkStart w:id="36" w:name="_Toc51339695"/>
      <w:r>
        <w:rPr>
          <w:bCs/>
          <w:sz w:val="24"/>
          <w:szCs w:val="24"/>
        </w:rPr>
        <w:t xml:space="preserve">Таблица </w:t>
      </w:r>
      <w:r>
        <w:rPr>
          <w:bCs/>
          <w:sz w:val="24"/>
          <w:szCs w:val="24"/>
          <w:lang w:val="ru-RU"/>
        </w:rPr>
        <w:t>2.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 xml:space="preserve">Перечень </w:t>
      </w:r>
      <w:bookmarkEnd w:id="36"/>
      <w:r>
        <w:rPr>
          <w:bCs/>
          <w:sz w:val="24"/>
          <w:szCs w:val="24"/>
          <w:lang w:val="ru-RU"/>
        </w:rPr>
        <w:t>и объем оказываемых услуг</w:t>
      </w:r>
      <w:bookmarkEnd w:id="33"/>
      <w:bookmarkEnd w:id="34"/>
      <w:bookmarkEnd w:id="35"/>
    </w:p>
    <w:tbl>
      <w:tblPr>
        <w:tblW w:w="10370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92"/>
        <w:gridCol w:w="3812"/>
        <w:gridCol w:w="1681"/>
        <w:gridCol w:w="2033"/>
        <w:gridCol w:w="2052"/>
      </w:tblGrid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Объем продукции*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(час, усл)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Оказание услуг с экипажем экскаватором длинноруким , объем ковша не менее 0,9 м3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час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732</w:t>
            </w:r>
          </w:p>
        </w:tc>
      </w:tr>
    </w:tbl>
    <w:p>
      <w:pPr>
        <w:pStyle w:val="Heading3"/>
        <w:rPr>
          <w:b w:val="false"/>
          <w:lang w:val="ru-RU"/>
        </w:rPr>
      </w:pPr>
      <w:bookmarkStart w:id="37" w:name="__RefHeading___Toc7989_238034913_Копия_1"/>
      <w:bookmarkEnd w:id="37"/>
      <w:r>
        <w:rPr>
          <w:b w:val="false"/>
          <w:lang w:val="ru-RU"/>
        </w:rPr>
        <w:t xml:space="preserve">* Объем продукции является ориентировочным, и Заказчик не несет ответственность за неполную выборку продукции на общую сумму договора. </w:t>
      </w:r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120" w:after="60"/>
        <w:ind w:left="283" w:hanging="0"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x-none" w:bidi="ar-SA"/>
        </w:rPr>
      </w:pPr>
      <w:bookmarkStart w:id="38" w:name="__RefHeading___Toc7991_238034913"/>
      <w:bookmarkStart w:id="39" w:name="_Toc150444142"/>
      <w:bookmarkStart w:id="40" w:name="_Toc130396892"/>
      <w:bookmarkStart w:id="41" w:name="_Toc190946771"/>
      <w:bookmarkStart w:id="42" w:name="_Toc51339696"/>
      <w:bookmarkEnd w:id="38"/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 xml:space="preserve">Требования </w:t>
      </w:r>
      <w:bookmarkEnd w:id="42"/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к срокам оказания услуг</w:t>
      </w:r>
      <w:bookmarkEnd w:id="39"/>
      <w:bookmarkEnd w:id="40"/>
      <w:bookmarkEnd w:id="4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/>
          <w:bCs/>
        </w:rPr>
      </w:pPr>
      <w:r>
        <w:rPr>
          <w:b/>
          <w:bCs/>
          <w:sz w:val="24"/>
          <w:szCs w:val="24"/>
        </w:rPr>
        <w:t xml:space="preserve">    </w:t>
      </w:r>
      <w:bookmarkStart w:id="43" w:name="_Toc150444143"/>
      <w:bookmarkStart w:id="44" w:name="_Toc190946772"/>
      <w:bookmarkStart w:id="45" w:name="_Toc50125127"/>
      <w:bookmarkStart w:id="46" w:name="_Toc51339697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47" w:name="_Hlk50465284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45"/>
      <w:bookmarkEnd w:id="46"/>
      <w:bookmarkEnd w:id="47"/>
      <w:r>
        <w:rPr>
          <w:b/>
          <w:bCs/>
          <w:sz w:val="24"/>
          <w:szCs w:val="24"/>
          <w:lang w:val="ru-RU"/>
        </w:rPr>
        <w:t>оказания услуг</w:t>
      </w:r>
      <w:bookmarkEnd w:id="43"/>
      <w:bookmarkEnd w:id="44"/>
    </w:p>
    <w:tbl>
      <w:tblPr>
        <w:tblW w:w="1032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17"/>
        <w:gridCol w:w="3007"/>
        <w:gridCol w:w="3130"/>
        <w:gridCol w:w="3465"/>
      </w:tblGrid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57" w:hanging="0"/>
              <w:contextualSpacing/>
              <w:jc w:val="left"/>
              <w:rPr/>
            </w:pPr>
            <w:r>
              <w:rPr/>
              <w:t>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;Times;serif" w:hAnsi="Times New Roman;Times;serif"/>
                <w:sz w:val="24"/>
                <w:szCs w:val="24"/>
              </w:rPr>
              <w:t xml:space="preserve">ОКПД2: 49.41.20.000 Оказание транспортных услуг длиннорукий экскаватором с экипажем для  нужд Загорского строительного участка 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;Times;serif" w:hAnsi="Times New Roman;Times;serif"/>
                <w:sz w:val="24"/>
                <w:szCs w:val="24"/>
              </w:rPr>
              <w:t>Центрального филиала АО "ТК РусГидро"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 даты заключения договора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Mincho"/>
                <w:sz w:val="24"/>
                <w:szCs w:val="24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48" w:name="_Toc130396894"/>
      <w:bookmarkStart w:id="49" w:name="_Toc150444144"/>
      <w:bookmarkStart w:id="50" w:name="_Toc190946773"/>
      <w:r>
        <w:rPr>
          <w:lang w:val="ru-RU"/>
        </w:rPr>
        <w:t xml:space="preserve">Требования </w:t>
      </w:r>
      <w:r>
        <w:rPr/>
        <w:t xml:space="preserve">к </w:t>
      </w:r>
      <w:r>
        <w:rPr>
          <w:lang w:val="ru-RU"/>
        </w:rPr>
        <w:t>качеству услуг</w:t>
      </w:r>
      <w:bookmarkEnd w:id="48"/>
      <w:bookmarkEnd w:id="49"/>
      <w:bookmarkEnd w:id="5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bookmarkStart w:id="51" w:name="_Toc150444145"/>
      <w:bookmarkStart w:id="52" w:name="_Toc190946774"/>
      <w:r>
        <w:rPr>
          <w:bCs/>
          <w:sz w:val="24"/>
          <w:szCs w:val="24"/>
        </w:rPr>
        <w:t>Таблица </w:t>
      </w:r>
      <w:r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</w:rPr>
        <w:t xml:space="preserve">. Требования к </w:t>
      </w:r>
      <w:r>
        <w:rPr>
          <w:bCs/>
          <w:sz w:val="24"/>
          <w:szCs w:val="24"/>
          <w:lang w:val="ru-RU"/>
        </w:rPr>
        <w:t>качеству услуг</w:t>
      </w:r>
      <w:bookmarkEnd w:id="51"/>
      <w:bookmarkEnd w:id="52"/>
      <w:r>
        <w:rPr>
          <w:bCs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>Наименование услуг/этапа услуг: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 xml:space="preserve">ОКПД2: 49.41.20.000 Оказание транспортных услуг длиннорукий экскаватором с экипажем для  нужд Загорского строительного участка </w:t>
      </w:r>
    </w:p>
    <w:p>
      <w:pPr>
        <w:pStyle w:val="Normal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Центрального филиала АО "ТК РусГидро"</w:t>
      </w:r>
    </w:p>
    <w:tbl>
      <w:tblPr>
        <w:tblW w:w="15450" w:type="dxa"/>
        <w:jc w:val="left"/>
        <w:tblInd w:w="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1021"/>
        <w:gridCol w:w="4011"/>
        <w:gridCol w:w="68"/>
        <w:gridCol w:w="5608"/>
        <w:gridCol w:w="4741"/>
      </w:tblGrid>
      <w:tr>
        <w:trPr/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Наименование параметра</w:t>
            </w:r>
          </w:p>
        </w:tc>
        <w:tc>
          <w:tcPr>
            <w:tcW w:w="5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Требование Заказчика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7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53" w:name="_Toc53499667"/>
            <w:r>
              <w:rPr>
                <w:sz w:val="20"/>
              </w:rPr>
              <w:t>1</w:t>
            </w:r>
            <w:bookmarkEnd w:id="53"/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2</w:t>
            </w:r>
          </w:p>
        </w:tc>
        <w:tc>
          <w:tcPr>
            <w:tcW w:w="5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3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4</w:t>
            </w:r>
          </w:p>
        </w:tc>
      </w:tr>
      <w:tr>
        <w:trPr>
          <w:trHeight w:val="239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Требования к оказанию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Общие требования к оказанию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>
          <w:trHeight w:val="437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1.1.1.‍</w:t>
            </w:r>
          </w:p>
        </w:tc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Экскаватор длиннорукий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на колесном/</w:t>
            </w:r>
            <w:r>
              <w:rPr>
                <w:sz w:val="20"/>
                <w:szCs w:val="20"/>
                <w:lang w:val="en-US"/>
              </w:rPr>
              <w:t xml:space="preserve">гусеничном </w:t>
            </w:r>
            <w:r>
              <w:rPr>
                <w:sz w:val="20"/>
                <w:szCs w:val="20"/>
                <w:lang w:val="en-US"/>
              </w:rPr>
              <w:t>ходу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Объем ковша не менее 0,9 м3, глубина копания не менее 15м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60" w:after="60"/>
              <w:ind w:left="0" w:right="57"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1.1.2.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Услуги оказываются на объектах строительства Загорской ГАЭС-2: д</w:t>
            </w:r>
            <w:r>
              <w:rPr>
                <w:color w:val="000000"/>
                <w:sz w:val="20"/>
              </w:rPr>
              <w:t>ля</w:t>
            </w:r>
            <w:r>
              <w:rPr>
                <w:color w:val="000000"/>
                <w:sz w:val="20"/>
              </w:rPr>
              <w:t xml:space="preserve"> разработки </w:t>
            </w:r>
            <w:r>
              <w:rPr>
                <w:color w:val="000000"/>
                <w:sz w:val="20"/>
              </w:rPr>
              <w:t>и планировки грунта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 xml:space="preserve">При выполнении услуг необходимо руководствоваться действующим законодательством Российской Федерации: </w:t>
            </w:r>
            <w:r>
              <w:rPr>
                <w:b/>
                <w:bCs/>
                <w:color w:val="000000"/>
                <w:sz w:val="20"/>
              </w:rPr>
              <w:t>Федеральным законом от 08.11.2007 № 259-ФЗ «Устав автомобильного транспорта и городского наземного электрического транспорта».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color w:val="000000"/>
                <w:sz w:val="20"/>
              </w:rPr>
              <w:t>Постановлением Правительства РФ от 23.10.1993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 Федеральным законом от 21.07.1997 N 116-ФЗ "О промышленной безопасности опасных производственных объектов".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</w:t>
            </w:r>
            <w:r>
              <w:rPr>
                <w:sz w:val="20"/>
              </w:rPr>
              <w:t>ений в пункт 2.1.1 Правил дорожного движения Российской Федерации".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0"/>
                <w:u w:val="none"/>
                <w:em w:val="none"/>
              </w:rPr>
              <w:t>"ГОСТ 25646-95. Эксплуатация строительных машин. Общие требования" (введен в действие Постановлением Госстандарта РФ от 17.02.1997 N 57)</w:t>
            </w:r>
          </w:p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1.1.4.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РФ, в том числе: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Федеральным законом от 10.12.1995 № 196-ФЗ «О безопасности дорожного движения».</w:t>
            </w:r>
          </w:p>
          <w:p>
            <w:pPr>
              <w:pStyle w:val="Normal"/>
              <w:widowControl w:val="false"/>
              <w:ind w:right="41" w:hanging="0"/>
              <w:jc w:val="both"/>
              <w:rPr>
                <w:strike/>
                <w:sz w:val="20"/>
                <w:shd w:fill="FFFF00" w:val="clear"/>
              </w:rPr>
            </w:pPr>
            <w:r>
              <w:rPr>
                <w:sz w:val="20"/>
              </w:rPr>
              <w:t>Решением Комиссии Таможенного союза от 09.12.2011 № 877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1.1.5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Оказание услуг должно осуществляться с соблюдением требований технической документации по эксплуатации автотранспорта, с соблюдением требований Правил дорожного движения РФ, Правил перевозки грузов автомобильным транспортом и других действующих нормативно-правовых актов РФ, связанных с оказанием услуг по перевозке грузов.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0"/>
                <w:szCs w:val="20"/>
                <w:lang w:eastAsia="x-none"/>
              </w:rPr>
              <w:t>1.1.6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Услуги, оказываемые Исполнителем, должны соответствовать ГОСТ Р 51005-96. Государственный стандарт Российской Федерации. Услуги транспортные. Перевозки грузов. Номенклатура показателей качества" (принят и введен в действие Постановлением Госстандарта РФ от 25.12.1996 N 702) Исполнитель обязуется обеспечить перевозку и передачу груза с должным качеством, без потерь, повреждений, порчи, в сроки и в соответствии с технологией организации и осуществления перевозок.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0"/>
              </w:rPr>
              <w:t>Используемая техника должна соответствовать требованиям безопасности, общим требованиям, установленным "ГОСТ 25646-95. Эксплуатация строительных машин. Общие требования" (введен в действие Постановлением Госстандарта РФ от 17.02.1997 N 57)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Качество услуг должно соответствовать действующим нормативным документам РФ, определяющим порядок перевозки грузов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транспорта»,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изменений в пункт 2.1.1 Правил дорожного движения Российской Федерации".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1.1.9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Исполнитель по требованию Заказчика должен предоставить копии документов, подтверждающих права собственности/владения автотранспортной техники.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оказать услуги с применением экипажа спецтехники для выполнения строительных работ в соответствии с требованиями, изложенными в настоящих Технических требованиях.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>
          <w:trHeight w:val="534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спецтехникой и грузоподъемными механизмами согласно поступившим заявкам, согласно п. 3.1. Договора.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оказываются персоналом Исполнителя с использованием дорожно-строительной техники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обеспечить своевременное и надлежащее оформление в установленном порядке путевой документации.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спецтехники 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Допускается выпускать на линию технически исправную технику, прошедшую в установленном порядке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производит страхование техники, несет ответственность за возможный ущерб, причиненный Заказчику в случае ненадлежащей эксплуатации Исполнителем дорожно-строительной техники.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1.2.9.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 в соответствии с потребностью Заказчика, на основании 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1.2.10.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Исполнитель, в случае ДТП, неисправности, невыхода на линию спецтехники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1.2.11</w:t>
            </w:r>
            <w:r>
              <w:rPr>
                <w:rFonts w:eastAsia="Calibri"/>
                <w:b/>
                <w:bCs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применения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эксплуатации  дорожно-строительной не должен превышать 12 лет.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1.2.13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предоставляет Заказчику технику оборудованную системой передачи данных (системой мониторинга), обеспечивающую сбор и обработку в электронном виде данных с ТС и предоставление доступа Заказчику к этим данным с целью контроля перемещения.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 и Постановлением Правительства РФ от 12.07.1999 № 796 "Об утверждении Правил допуска к управлению самоходными машинами и выдачи удостоверений тракториста-машиниста (тракториста)", соблюдение установленных на объекте режимных требований при входе и выходе персонала, въезде, выезде спецтехники и ввозе материалов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1.3.2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Допускать к управлению дорожно-строительной техникой машинистов, имеющих соответствующую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работы: Односменный (8 часов по рабочим дням, 1 час – обеденное время),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– в зависимости от объема и сроков выполнения строительного-монтажных работ с применением спецтехники и механизмов.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праздничные)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окончании оказания Услуг по Заявке Исполнитель в течение 2 (двух) рабочих дней предоставляет Заказчику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Универсальный передаточный документ (УПД)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Справку о выполненных работах (услугах) по форме № ЭСМ-7 в 2 (двух) экземплярах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Рапорты о работе строительной техники в (двух) экземплярах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Копии путевых листов строительной машины — форма ЭСМ-2 с подписью уполномоченного представителем Заказчика.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времени эксплуатации техники производится по факту отработанного времени/выполненного объема перевозок, указанного в путевых листах, подписанных уполномоченным представителем Заказчика.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keepLines/>
        <w:ind w:left="1247" w:hanging="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1"/>
        <w:keepLines/>
        <w:ind w:left="0" w:hanging="0"/>
        <w:jc w:val="center"/>
        <w:rPr>
          <w:bCs/>
          <w:sz w:val="24"/>
          <w:szCs w:val="24"/>
        </w:rPr>
      </w:pPr>
      <w:bookmarkStart w:id="54" w:name="__RefHeading___Toc8011_238034913"/>
      <w:bookmarkStart w:id="55" w:name="_Toc190946775"/>
      <w:bookmarkEnd w:id="54"/>
      <w:r>
        <w:rPr>
          <w:bCs/>
          <w:sz w:val="24"/>
          <w:szCs w:val="24"/>
          <w:lang w:val="ru-RU"/>
        </w:rPr>
        <w:t xml:space="preserve">3. </w:t>
      </w:r>
      <w:bookmarkStart w:id="56" w:name="_Toc150444158"/>
      <w:bookmarkStart w:id="57" w:name="_Toc54281228"/>
      <w:r>
        <w:rPr>
          <w:bCs/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keepNext w:val="true"/>
        <w:keepLines/>
        <w:numPr>
          <w:ilvl w:val="0"/>
          <w:numId w:val="0"/>
        </w:numPr>
        <w:suppressAutoHyphens w:val="false"/>
        <w:spacing w:before="120" w:after="60"/>
        <w:ind w:left="357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  <w:t>3.3. Дополнительные документы по ценообразованию в состав заявки Участника не включаются.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  <w:t>3.4. Цена остается фиксированной и не подлежит изменению и на все время действия договора.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rPr>
          <w:lang w:val="x-none"/>
        </w:rPr>
      </w:pPr>
      <w:r>
        <w:rPr>
          <w:lang w:val="x-none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200"/>
        <w:jc w:val="center"/>
        <w:rPr>
          <w:sz w:val="24"/>
          <w:szCs w:val="24"/>
        </w:rPr>
      </w:pPr>
      <w:r>
        <w:rPr>
          <w:sz w:val="24"/>
          <w:szCs w:val="24"/>
        </w:rPr>
        <w:t>Начальник Загорского строительного участка ____________________ Ш.Б. Гамзатов</w:t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808080"/>
          <w:sz w:val="18"/>
          <w:szCs w:val="18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851" w:right="851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altName w:val="Times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4E18B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4E18B3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b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283" w:hanging="0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1141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9a3ad7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13" w:customStyle="1">
    <w:name w:val="Номер строки1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14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4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8f0d34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CD88-F08D-42F2-B758-5686A989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6786</TotalTime>
  <Application>AlterOffice/3.4.0.9$Linux_X86_64 LibreOffice_project/b8daf9e823b1a5463a2f48435ddc2e8696e7d4fc</Application>
  <AppVersion>15.0000</AppVersion>
  <Pages>9</Pages>
  <Words>1720</Words>
  <Characters>12127</Characters>
  <CharactersWithSpaces>13684</CharactersWithSpaces>
  <Paragraphs>200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2025-02-20T02:26:00Z</dcterms:created>
  <dc:creator>Быстров Олег Геннадьевич</dc:creator>
  <dc:description/>
  <dc:language>ru-RU</dc:language>
  <cp:lastModifiedBy>tolpyginanv@corp.gidroogk.com</cp:lastModifiedBy>
  <cp:lastPrinted>2026-05-28T14:35:55Z</cp:lastPrinted>
  <dcterms:modified xsi:type="dcterms:W3CDTF">2026-06-09T10:04:27Z</dcterms:modified>
  <cp:revision>78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