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360"/>
        <w:ind w:left="5245" w:hanging="0"/>
        <w:jc w:val="right"/>
        <w:outlineLvl w:val="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eastAsia="Calibri"/>
          <w:b/>
          <w:bCs/>
          <w:i w:val="false"/>
          <w:iCs w:val="false"/>
          <w:sz w:val="28"/>
          <w:szCs w:val="28"/>
        </w:rPr>
        <w:t>ОКПД 2 33.12.15 Услуги по сезонному обслуживанию приборов безопасности подъемных сооружений в Хабаровском крае, Приморском крае, Амурской области, Республике Саха (Якутия), Магаданской области для нужд Дальневосточного филиала АО «ТК РусГидро»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bCs/>
          <w:i w:val="false"/>
          <w:iCs w:val="false"/>
          <w:sz w:val="28"/>
          <w:szCs w:val="28"/>
        </w:rPr>
        <w:t>3022-ЭКСП ПРОД-2027-ТК_Дальневост_фил</w:t>
      </w:r>
    </w:p>
    <w:p>
      <w:pPr>
        <w:pStyle w:val="Normal"/>
        <w:keepNext w:val="true"/>
        <w:keepLines/>
        <w:jc w:val="both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fldChar w:fldCharType="begin"/>
          </w:r>
          <w:r>
            <w:rPr>
              <w:sz w:val="22"/>
              <w:szCs w:val="22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szCs w:val="22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 xml:space="preserve">                                                                                                                 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rFonts w:ascii="Times New Roman" w:hAnsi="Times New Roman"/>
          <w:sz w:val="24"/>
          <w:szCs w:val="24"/>
        </w:rPr>
      </w:pPr>
      <w:bookmarkStart w:id="0" w:name="_Toc135150390"/>
      <w:bookmarkStart w:id="1" w:name="_Toc54643694"/>
      <w:r>
        <w:rPr>
          <w:sz w:val="24"/>
          <w:szCs w:val="24"/>
        </w:rPr>
        <w:t>Общие сведения</w:t>
      </w:r>
      <w:bookmarkStart w:id="2" w:name="_Toc46743506"/>
      <w:bookmarkEnd w:id="0"/>
      <w:bookmarkEnd w:id="1"/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3" w:name="_Toc135150391"/>
      <w:bookmarkStart w:id="4" w:name="_Toc54643696"/>
      <w:r>
        <w:rPr>
          <w:sz w:val="24"/>
          <w:szCs w:val="24"/>
        </w:rPr>
        <w:t xml:space="preserve">Наименование </w:t>
      </w:r>
      <w:bookmarkEnd w:id="2"/>
      <w:bookmarkEnd w:id="3"/>
      <w:bookmarkEnd w:id="4"/>
      <w:r>
        <w:rPr>
          <w:sz w:val="24"/>
          <w:szCs w:val="24"/>
          <w:lang w:val="ru-RU"/>
        </w:rPr>
        <w:t>оплачиваемой услуги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ОКПД 2 33.12.15 Услуги по сезонному обслуживанию приборов безопасности подъемных сооружений в Хабаровском крае, Приморском крае, Амурской области, Республике Саха (Якутия), Магаданской области для нужд Дальневосточного филиала АО "ТК РусГидро"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проведению обслуживания приборов безопасности подъемных сооружений является освидетельствование и проверка работоспособности и возможности корректного сбора, обработки и регистрации информации о положении как частей, так и в целом подъемного сооружения, загрузке, а также предотвращение неуправляемого передвижения, с периодичностью не реже 2 раз в год, приуроченных к весенне-летнему и осенне-зимнему сезонах эксплуатации техники.</w:t>
      </w:r>
      <w:bookmarkStart w:id="10" w:name="_GoBack"/>
      <w:bookmarkEnd w:id="10"/>
    </w:p>
    <w:p>
      <w:pPr>
        <w:pStyle w:val="Heading4"/>
        <w:numPr>
          <w:ilvl w:val="1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1" w:name="_Toc54643700"/>
      <w:bookmarkStart w:id="12" w:name="_Toc135150393"/>
      <w:bookmarkStart w:id="13" w:name="_Hlk49857604"/>
      <w:bookmarkStart w:id="14" w:name="_Toc46743509"/>
      <w:bookmarkStart w:id="15" w:name="_Toc54643698_Копия_1"/>
      <w:bookmarkStart w:id="16" w:name="_Toc46743508_Копия_1"/>
      <w:bookmarkEnd w:id="15"/>
      <w:bookmarkEnd w:id="16"/>
      <w:r>
        <w:rPr>
          <w:sz w:val="24"/>
          <w:szCs w:val="24"/>
        </w:rPr>
        <w:t xml:space="preserve">Информация в отношении исполнения договора, </w:t>
      </w:r>
      <w:bookmarkStart w:id="17" w:name="_Hlk46492347"/>
      <w:r>
        <w:rPr>
          <w:sz w:val="24"/>
          <w:szCs w:val="24"/>
        </w:rPr>
        <w:t xml:space="preserve">которая должна быть учтена при подготовке заявки </w:t>
      </w:r>
      <w:bookmarkEnd w:id="17"/>
      <w:r>
        <w:rPr>
          <w:sz w:val="24"/>
          <w:szCs w:val="24"/>
        </w:rPr>
        <w:t xml:space="preserve">(в том числе перечень ресурсов, услуг и документов, предоставляемых </w:t>
      </w:r>
      <w:r>
        <w:rPr>
          <w:sz w:val="24"/>
          <w:szCs w:val="24"/>
          <w:lang w:val="ru-RU"/>
        </w:rPr>
        <w:t>заказчиком</w:t>
      </w:r>
      <w:r>
        <w:rPr>
          <w:sz w:val="24"/>
          <w:szCs w:val="24"/>
        </w:rPr>
        <w:t xml:space="preserve"> на этапе исполнения договора)</w:t>
      </w:r>
      <w:bookmarkEnd w:id="12"/>
      <w:bookmarkEnd w:id="13"/>
      <w:bookmarkEnd w:id="14"/>
      <w:r>
        <w:rPr>
          <w:sz w:val="24"/>
          <w:szCs w:val="24"/>
          <w:lang w:val="ru-RU"/>
        </w:rPr>
        <w:t xml:space="preserve"> </w:t>
      </w:r>
      <w:bookmarkStart w:id="18" w:name="_Hlk48209761"/>
      <w:bookmarkEnd w:id="11"/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Требования о наличии приборов безопасности на подъемных сооружениях, их исправном состоянии и периодическом сервисном обслуживании установлены и регламентированы Приказом Ростехнадзора от 26.11.2020 № 461.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19" w:name="_Toc54643701"/>
      <w:bookmarkStart w:id="20" w:name="_Toc135150394"/>
      <w:bookmarkStart w:id="21" w:name="_Toc50125126"/>
      <w:bookmarkEnd w:id="18"/>
      <w:bookmarkEnd w:id="21"/>
      <w:r>
        <w:rPr>
          <w:sz w:val="24"/>
          <w:szCs w:val="24"/>
        </w:rPr>
        <w:t>Иные требования и сведения общего характера</w:t>
      </w:r>
      <w:bookmarkEnd w:id="20"/>
      <w:r>
        <w:rPr>
          <w:sz w:val="24"/>
          <w:szCs w:val="24"/>
          <w:lang w:val="ru-RU"/>
        </w:rPr>
        <w:t xml:space="preserve"> </w:t>
      </w:r>
      <w:bookmarkEnd w:id="19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2" w:name="_Toc135150395"/>
      <w:bookmarkStart w:id="23" w:name="_Toc129097754"/>
      <w:bookmarkStart w:id="24" w:name="_Toc54643699"/>
      <w:r>
        <w:rPr>
          <w:sz w:val="24"/>
          <w:szCs w:val="24"/>
        </w:rPr>
        <w:t>Подъемные сооружения являются источником повышенной опасности. Корректная и исправная работа приборов безопасности подъемных сооружений напрямую влияет на безопасность при производстве работ. Техническое обслуживание приборов безопасности осуществляются в соответствии с их эксплуатационной документацией.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  <w:lang w:val="x-none" w:eastAsia="x-none"/>
        </w:rPr>
        <w:t>Таблица 1</w:t>
      </w:r>
      <w:r>
        <w:rPr>
          <w:rFonts w:eastAsia="Calibri"/>
          <w:b/>
          <w:sz w:val="24"/>
          <w:szCs w:val="24"/>
          <w:lang w:eastAsia="x-none"/>
        </w:rPr>
        <w:t>.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Перечень объектов заказчика</w:t>
      </w:r>
      <w:bookmarkEnd w:id="22"/>
      <w:bookmarkEnd w:id="23"/>
      <w:bookmarkEnd w:id="24"/>
    </w:p>
    <w:p>
      <w:pPr>
        <w:pStyle w:val="Normal"/>
        <w:numPr>
          <w:ilvl w:val="0"/>
          <w:numId w:val="0"/>
        </w:numPr>
        <w:spacing w:before="240" w:after="60"/>
        <w:ind w:left="0" w:hanging="0"/>
        <w:outlineLvl w:val="0"/>
        <w:rPr>
          <w:rFonts w:ascii="Times New Roman" w:hAnsi="Times New Roman" w:eastAsia="Calibri"/>
          <w:b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/>
          <w:sz w:val="24"/>
          <w:szCs w:val="24"/>
          <w:shd w:fill="auto" w:val="clear"/>
          <w:lang w:eastAsia="x-none"/>
        </w:rPr>
      </w:r>
    </w:p>
    <w:tbl>
      <w:tblPr>
        <w:tblW w:w="10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755"/>
        <w:gridCol w:w="2145"/>
        <w:gridCol w:w="2050"/>
        <w:gridCol w:w="1550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shd w:fill="auto" w:val="clear"/>
                <w:lang w:val="ru-RU"/>
              </w:rPr>
              <w:t>(место оказания услуг)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Наименование основного средства</w:t>
              <w:br/>
              <w:t>(в отношении которого оказываются услуги)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Примечания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napToGrid w:val="false"/>
              <w:spacing w:before="0" w:after="0"/>
              <w:contextualSpacing/>
              <w:rPr>
                <w:rFonts w:ascii="Times New Roman" w:hAnsi="Times New Roman" w:eastAsia="Calibri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ОКПД 2 33.12.15 Услуги по сезонному обслуживанию приборов безопасности подъемных сооружений в Хабаровском крае, Приморском крае, Амурской области, Республике Саха (Якутия), Магаданской области для нужд Дальневосточного филиала АО "ТК РусГидро"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мурская область, п. Талакан; Амурская область, г. Зея; Республика Саха (Якутия), Нерюнгринский район, Серебряный Бор; Магаданская область, Ягоднинский район; Хабаровский край, г. Хабаровск; Приморский край, г. Партизанск; Приморский край, г. Владивосток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-</w:t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eastAsia="x-none"/>
        </w:rPr>
      </w:pPr>
      <w:r>
        <w:rPr>
          <w:sz w:val="24"/>
          <w:szCs w:val="24"/>
          <w:shd w:fill="auto" w:val="clear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rFonts w:ascii="Times New Roman" w:hAnsi="Times New Roman"/>
          <w:sz w:val="24"/>
          <w:szCs w:val="24"/>
        </w:rPr>
      </w:pPr>
      <w:bookmarkStart w:id="25" w:name="_Toc135150396"/>
      <w:bookmarkStart w:id="26" w:name="_Toc54643702"/>
      <w:bookmarkStart w:id="27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28" w:name="_Toc54643703"/>
      <w:bookmarkStart w:id="29" w:name="_Toc135150397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30" w:name="_Toc135150398"/>
      <w:bookmarkStart w:id="31" w:name="_Toc54643704"/>
      <w:r>
        <w:rPr>
          <w:sz w:val="24"/>
          <w:szCs w:val="24"/>
        </w:rPr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bookmarkStart w:id="32" w:name="_Toc54643705"/>
      <w:bookmarkStart w:id="33" w:name="_Toc135150399"/>
      <w:bookmarkStart w:id="34" w:name="_Toc51339695"/>
      <w:r>
        <w:rPr>
          <w:sz w:val="24"/>
          <w:szCs w:val="24"/>
        </w:rPr>
        <w:t xml:space="preserve">Таблица 2. Перечень </w:t>
      </w:r>
      <w:bookmarkEnd w:id="34"/>
      <w:r>
        <w:rPr>
          <w:sz w:val="24"/>
          <w:szCs w:val="24"/>
        </w:rPr>
        <w:t>и объем оказываемых услуг</w:t>
      </w:r>
      <w:bookmarkEnd w:id="32"/>
      <w:bookmarkEnd w:id="33"/>
    </w:p>
    <w:tbl>
      <w:tblPr>
        <w:tblW w:w="981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4"/>
        <w:gridCol w:w="5329"/>
        <w:gridCol w:w="1511"/>
        <w:gridCol w:w="2129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подъемных сооружений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ОКПД 2 33.12.15 Услуги по сезонному обслуживанию приборов безопасности подъемных сооружений в Хабаровском крае, Приморском крае, Амурской области, Республике Саха (Якутия), Магаданской области для нужд Дальневосточного филиала АО "ТК РусГидро":</w:t>
            </w:r>
          </w:p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 технического обслуживания приборов безопасности подъемного сооружения.</w:t>
            </w:r>
          </w:p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безопасности подъемных сооружений (грузоподъемный кран, краново-манипуляторная установка, автогидроподъемник)  - это указатели, ограничители и регуляторы. К ним относятся: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указатели угла наклона крана (данный регулятор позволяет исключить возможность слишком сильного наклона грузоподъемного крана);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указатель грузоподъемности (данный указатель находится в рабочей кабине, для его правильной регулировки необходимо устанавливать кран на ровной поверхности и провести необходимые сравнения с данными и показателями. Если указатель грузоподъемности был заменен или было установлено новое оборудование, то приборы безопасности кранов необходимо регулировать вновь;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ограничитель высоты подъема крюка (данный ограничитель должен быть обязательно установлен до начала работы крана, так как в противном случае груз может быть поднят на недопустимую высоту, что приведет к падению стрелового крана);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ограничитель вылета стрелы (данный ограничитель необходим, для того чтобы разомкнуть контакты при подъеме и повороте стрелы крана в крайнее положение);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ограничитель грузоподъемности крана (Данные приборы безопасности для кранов позволяют исключить возможность подъема слишком больших грузов);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указатель скорости ветра (Устройство, сигнализирующее при приближении к предельной скорости ветра, выше которой работа должна быть прекращена);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ориентации пола люльки в горизонтальном положении во всей зоне обслуживания; при этом угол наклона пола люльки не должен превышать 5°;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(устройствами), ограничивающим зону обслуживания;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блокировки подъема и поворота колен при не выставленном на опоры подъемнике;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блокировки подъема опор при рабочем положении стрелы;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аварийного опускания люльки при отказе гидросистемы, электропривода или привода гидронасоса;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устройством (указателем) угла наклона подъемника;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системой аварийной остановки двигателя с управлением из люльки и с нижнего пульта, которая должна быть снабжена кнопками "Стоп"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соотвествии с ведомостью услуг (Приложение № 1 к настоящему ТТ)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35" w:name="_Toc54643706"/>
      <w:bookmarkStart w:id="36" w:name="_Toc135150400"/>
      <w:bookmarkStart w:id="37" w:name="_Toc51339696"/>
      <w:r>
        <w:rPr>
          <w:sz w:val="24"/>
          <w:szCs w:val="24"/>
        </w:rPr>
        <w:t xml:space="preserve">Требования </w:t>
      </w:r>
      <w:bookmarkEnd w:id="37"/>
      <w:r>
        <w:rPr>
          <w:sz w:val="24"/>
          <w:szCs w:val="24"/>
        </w:rPr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0"/>
      <w:bookmarkEnd w:id="41"/>
      <w:bookmarkEnd w:id="43"/>
      <w:r>
        <w:rPr>
          <w:sz w:val="24"/>
          <w:szCs w:val="24"/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сезонного технического обслуживания приборов безопасности подъемного сооружения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bookmarkStart w:id="44" w:name="_Toc46743510"/>
            <w:r>
              <w:rPr>
                <w:sz w:val="24"/>
                <w:szCs w:val="24"/>
              </w:rPr>
              <w:t>31.12.2027 г.</w:t>
            </w:r>
            <w:bookmarkEnd w:id="44"/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45" w:name="_Toc54643709"/>
      <w:bookmarkStart w:id="46" w:name="_Toc51339698"/>
      <w:bookmarkStart w:id="47" w:name="_Toc54643708"/>
      <w:bookmarkStart w:id="48" w:name="_Toc135150402"/>
      <w:bookmarkStart w:id="49" w:name="_Toc46743511"/>
      <w:r>
        <w:rPr>
          <w:sz w:val="24"/>
          <w:szCs w:val="24"/>
        </w:rPr>
        <w:t xml:space="preserve">Требования к </w:t>
      </w:r>
      <w:bookmarkEnd w:id="49"/>
      <w:r>
        <w:rPr>
          <w:sz w:val="24"/>
          <w:szCs w:val="24"/>
          <w:lang w:val="ru-RU"/>
        </w:rPr>
        <w:t>качеству услуг</w:t>
      </w:r>
      <w:bookmarkEnd w:id="47"/>
      <w:bookmarkEnd w:id="48"/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bookmarkStart w:id="50" w:name="_Toc1351504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качеству услуг</w:t>
      </w:r>
      <w:bookmarkEnd w:id="45"/>
      <w:bookmarkEnd w:id="50"/>
      <w:r>
        <w:rPr>
          <w:sz w:val="24"/>
          <w:szCs w:val="24"/>
        </w:rPr>
        <w:t xml:space="preserve"> по проведению сезонного технического обслуживания приборов безопасности подъемного сооружения</w:t>
      </w:r>
    </w:p>
    <w:p>
      <w:pPr>
        <w:pStyle w:val="Normal"/>
        <w:rPr>
          <w:rFonts w:ascii="Times New Roman" w:hAnsi="Times New Roman"/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9"/>
        <w:gridCol w:w="5222"/>
        <w:gridCol w:w="1947"/>
        <w:gridCol w:w="2136"/>
        <w:gridCol w:w="2269"/>
        <w:gridCol w:w="2945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о наличии приборов безопасности на подъемных сооружениях, их исправном состоянии и периодическом сервисном обслуживании установлены и регламентированы Приказом Ростехнадзора от 26.11.2020 № 461.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технического обслуживания приборов безопасности происходит в местах базирования подъемных сооружений                    (Амурская область, п. Талакан; Амурская область, г. Зея; Республика Саха (Якутия), Нерюнгринский район, Серебряный Бор; Магаданская область, Ягоднинский район; Хабаровский край, г. Хабаровск; Приморский край, г. Партизанск; Приморский край, г. Владивосток)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технического обслуживания приборов безопасности происходят в местах базирования подъемных сооружений с помощью специализированного и сертифицированного оборудования, работником с соответствующей квалификацией знаниями, навыками.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проведения технического обслуживания приборов безопасности подъемных сооружений необходимо выполнить комплекс работ, направленных на поддержание работоспособности, выявления и устранения неисправностей оборудования. При помощи специальных приборов, позволяющих оценить состояние технических элементов, механизмов и изделий, производится диагностика и техническое обслуживание приборов безопасности, оценка корректности эксплуатации.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 производится замена изношенных рабочих компонентов.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приборов безопасности должны выполняться в соответствии с их эксплуатационными документами, а также эксплуатационными документами подъемных сооружений.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произведения ремонтных работ приборов безопасности, должна проводиться наладка и проверка их работоспособности с подтверждением соответствия характеристик паспортным данным.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инструментов и приборов, необходимых для проведения технического обслуживания, определяют работники, выполняющие обслуживание, с учетом требований эксплуатационных документов подъемных сооружений.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быть безопасным, не представлять угрозы для работников осуществляющих техническое обслуживание и работников оказывающих им помощь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работе использовать контрольно-измерительные приборы и оборудование, позволяющие выполнять наладочные работы, оценивать работоспособность, выполнять ремонт либо регулировку приборов безопасности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Работники, непосредственно занятые на выполнении работ техническому обслуживанию приборов безопасности должны отвечать следующим требованиям: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 и уметь выявлять дефекты и повреждения систем управления ПС и приборов безопасности;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применять на практике технологии ремонта и восстановления приборов безопасности и систем управления ПС;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приборами безопасности, по их техническому обслуживанию, замене, ремонту должны выполнять работники, квалификация которых соответствует требованиям, изложенным в эксплуатационных документах подъемных сооружений и приборов безопасности.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проведенных «Исполнителем» работ по техническому обслуживанию, должен быть составлен «Акт выполненных работ», в котором будут отражены работы, проведенные с приборами безопасности, перечень неисправностей, в случае их обнаружения.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«Акту выполненных работ» «Исполнитель» описывает состояние приборов безопасности подъемного сооружения, указывая при необходимости проведение ремонта или полной замены элементов приборов безопасности.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технического обслуживания приборов безопасности должны исключать возможность причинения вреда здоровью работникам Заказчика, как процессе оказания услуг, так и после их окончания, при штатной работе подъемных сооружений.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технического осмотра и обслуживания приборов безопасности «Исполнитель» должен составить «Акту выполненных работ», отразив проведенные им работы, текущее состояние приборов безопасности, указав при необходимости проведение ремонта или полной замене элементов приборов безопасности.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«Исполнитель» обязан проводить техническое освидетельствование, монтаж (демонтаж), ремонт приборов безопасности подъемных сооружений «Заказчика»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«Исполнитель» несет ответственность предусмотренных законодательством РФ за качество оказанных услуг по техническому освидетельствованию приборов безопасности.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регулировки, настройки, ремонт, замену приборов безопасности, получив при необходимости консультацию по работе с подъемными сооружениями, исключающими возможность нарушения корректной работы приборов безопасности и действий при возникновении нештатных ситуаций  в процессе работы приборов безопасности.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2" w:name="_Toc135150404"/>
      <w:bookmarkStart w:id="53" w:name="_Toc54643710"/>
      <w:bookmarkStart w:id="54" w:name="_Toc53395937"/>
      <w:bookmarkStart w:id="55" w:name="_Toc53393312"/>
      <w:r>
        <w:rPr>
          <w:sz w:val="24"/>
          <w:szCs w:val="24"/>
        </w:rPr>
        <w:t>Требования к документации по ценообразованию</w:t>
      </w:r>
      <w:bookmarkEnd w:id="54"/>
      <w:bookmarkEnd w:id="55"/>
      <w:r>
        <w:rPr>
          <w:sz w:val="24"/>
          <w:szCs w:val="24"/>
        </w:rPr>
        <w:t xml:space="preserve"> на этапе закупки</w:t>
      </w:r>
      <w:bookmarkEnd w:id="52"/>
      <w:bookmarkEnd w:id="53"/>
    </w:p>
    <w:p>
      <w:pPr>
        <w:pStyle w:val="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iCs/>
          <w:sz w:val="24"/>
          <w:szCs w:val="24"/>
        </w:rPr>
        <w:tab/>
        <w:t>3.1. В стоимость услуг должны быть включены все затраты, связанные с исполнением обязательств по Договору, в том числе, все налоги, сборы и пошлины,  иные расходы, связанные с исполнением обязательств по Договору.</w:t>
      </w:r>
    </w:p>
    <w:p>
      <w:pPr>
        <w:pStyle w:val="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iCs/>
          <w:color w:val="000000"/>
          <w:sz w:val="24"/>
          <w:szCs w:val="24"/>
        </w:rPr>
        <w:tab/>
        <w:t>3.2. Цена остается фиксированной и не подлежит изменению на весь срок действия договора.</w:t>
      </w:r>
    </w:p>
    <w:p>
      <w:pPr>
        <w:pStyle w:val="Heading1"/>
        <w:numPr>
          <w:ilvl w:val="0"/>
          <w:numId w:val="0"/>
        </w:numPr>
        <w:ind w:left="5039" w:hanging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snapToGrid w:val="false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56" w:name="_Ref40301253"/>
      <w:bookmarkStart w:id="57" w:name="_Ref40301253"/>
      <w:bookmarkEnd w:id="57"/>
    </w:p>
    <w:p>
      <w:pPr>
        <w:pStyle w:val="Normal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58" w:name="_Ref40301253_Копия_1"/>
      <w:bookmarkStart w:id="59" w:name="_Ref40301253_Копия_1"/>
      <w:bookmarkEnd w:id="59"/>
    </w:p>
    <w:p>
      <w:pPr>
        <w:pStyle w:val="Normal"/>
        <w:spacing w:before="0" w:after="12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W" w:customStyle="1">
    <w:name w:val="w"/>
    <w:basedOn w:val="DefaultParagraphFont"/>
    <w:qFormat/>
    <w:rsid w:val="00860475"/>
    <w:rPr/>
  </w:style>
  <w:style w:type="character" w:styleId="Style14">
    <w:name w:val="Ссылка указателя"/>
    <w:qFormat/>
    <w:rPr/>
  </w:style>
  <w:style w:type="character" w:styleId="WW8Num4z0">
    <w:name w:val="WW8Num4z0"/>
    <w:qFormat/>
    <w:rPr>
      <w:b/>
      <w:bCs w:val="false"/>
      <w:sz w:val="24"/>
      <w:szCs w:val="24"/>
    </w:rPr>
  </w:style>
  <w:style w:type="character" w:styleId="WW8Num4z1">
    <w:name w:val="WW8Num4z1"/>
    <w:qFormat/>
    <w:rPr>
      <w:b w:val="false"/>
      <w:bCs/>
      <w:sz w:val="24"/>
      <w:szCs w:val="24"/>
    </w:rPr>
  </w:style>
  <w:style w:type="character" w:styleId="WW8Num4z2">
    <w:name w:val="WW8Num4z2"/>
    <w:qFormat/>
    <w:rPr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566ab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566ab"/>
    <w:pPr>
      <w:tabs>
        <w:tab w:val="clear" w:pos="708"/>
        <w:tab w:val="left" w:pos="840" w:leader="none"/>
        <w:tab w:val="right" w:pos="992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566ab"/>
    <w:pPr>
      <w:tabs>
        <w:tab w:val="clear" w:pos="708"/>
        <w:tab w:val="left" w:pos="851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6B52-868B-45DA-A1B8-B7703ADC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Application>AlterOffice/3.4.0.9$Linux_X86_64 LibreOffice_project/b8daf9e823b1a5463a2f48435ddc2e8696e7d4fc</Application>
  <AppVersion>15.0000</AppVersion>
  <Pages>11</Pages>
  <Words>1694</Words>
  <Characters>11933</Characters>
  <CharactersWithSpaces>13500</CharactersWithSpaces>
  <Paragraphs>258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2023-07-12T09:06:00Z</dcterms:created>
  <dc:creator>Быстров Олег Геннадьевич</dc:creator>
  <dc:description/>
  <dc:language>ru-RU</dc:language>
  <cp:lastModifiedBy/>
  <cp:lastPrinted>2023-02-14T04:00:00Z</cp:lastPrinted>
  <dcterms:modified xsi:type="dcterms:W3CDTF">2026-06-10T09:44:19Z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