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7554584_Копия_1"/>
      <w:bookmarkStart w:id="8" w:name="_Toc139856287_Копия_1"/>
      <w:bookmarkStart w:id="9" w:name="_Toc141696704_Копия_1"/>
      <w:bookmarkStart w:id="10" w:name="_Toc137554584_Копия_1"/>
      <w:bookmarkStart w:id="11" w:name="_Toc139856287_Копия_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2"/>
        </w:rPr>
        <w:t>ОКПД2: 71.20.14 Услуги по предрейсовому/послерейсовому контролю технического состояния транспортных средств и выпуску технически исправных транспортных средств к работе в населенном пункте Якутск Якутского ТУ Дальневосточного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>
              <w:rFonts w:eastAsia="新細明體" w:cs="Arial" w:cstheme="minorBidi" w:eastAsiaTheme="minorEastAsia" w:ascii="Calibri" w:hAnsi="Calibri"/>
              <w:sz w:val="24"/>
              <w:szCs w:val="24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</w:t>
            </w:r>
            <w:r>
              <w:rPr>
                <w:rStyle w:val="Style14"/>
                <w:sz w:val="24"/>
                <w:szCs w:val="24"/>
              </w:rPr>
              <w:t>рокам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rFonts w:eastAsia="新細明體" w:cs="Arial" w:cstheme="minorBidi" w:eastAsiaTheme="minorEastAsia"/>
              <w:b w:val="false"/>
              <w:bCs w:val="false"/>
              <w:vanish w:val="false"/>
              <w:sz w:val="24"/>
              <w:szCs w:val="24"/>
            </w:rPr>
            <w:t>4</w:t>
          </w:r>
        </w:p>
        <w:p>
          <w:pPr>
            <w:pStyle w:val="TOC4"/>
            <w:rPr/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0"/>
                <w:szCs w:val="20"/>
              </w:rPr>
              <w:t>2.2.</w:t>
            </w:r>
            <w:r>
              <w:rPr>
                <w:rStyle w:val="Style14"/>
                <w:rFonts w:eastAsia="新細明體" w:cs="Arial" w:cstheme="minorBidi" w:eastAsiaTheme="minorEastAsia"/>
                <w:sz w:val="20"/>
                <w:szCs w:val="20"/>
              </w:rPr>
              <w:tab/>
            </w:r>
            <w:r>
              <w:rPr>
                <w:rStyle w:val="Style14"/>
                <w:sz w:val="20"/>
                <w:szCs w:val="20"/>
              </w:rPr>
              <w:t>Требования к качеству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rFonts w:eastAsia="新細明體" w:cs="Arial" w:cstheme="minorBidi" w:eastAsiaTheme="minorEastAsia"/>
              <w:vanish w:val="false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9"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 4. Требования к качеству услуг</w:t>
              <w:tab/>
            </w:r>
          </w:hyperlink>
          <w:r>
            <w:rPr>
              <w:rFonts w:eastAsia="新細明體" w:cs="Arial" w:cstheme="minorBidi" w:eastAsiaTheme="minorEastAsia"/>
              <w:b w:val="false"/>
              <w:bCs w:val="false"/>
              <w:vanish w:val="false"/>
              <w:sz w:val="24"/>
              <w:szCs w:val="24"/>
            </w:rPr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11">
            <w:r>
              <w:rPr>
                <w:webHidden/>
                <w:rStyle w:val="Style14"/>
                <w:vanish w:val="false"/>
                <w:sz w:val="24"/>
                <w:szCs w:val="24"/>
              </w:rPr>
              <w:t>3.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документации по ценообразованию на этапе заключения (исполнения) договора………………………………………………………………………………………………</w:t>
            </w:r>
          </w:hyperlink>
          <w:r>
            <w:rPr>
              <w:rFonts w:eastAsia="新細明體" w:cs="Arial" w:cstheme="minorBidi" w:eastAsiaTheme="minorEastAsia"/>
              <w:b w:val="false"/>
              <w:bCs w:val="false"/>
              <w:sz w:val="24"/>
              <w:szCs w:val="24"/>
            </w:rPr>
            <w:t>...9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rFonts w:eastAsia="新細明體" w:cs="Arial" w:cstheme="minorBidi" w:eastAsiaTheme="minorEastAsia"/>
              <w:b w:val="false"/>
              <w:bCs w:val="false"/>
              <w:sz w:val="24"/>
              <w:szCs w:val="24"/>
            </w:rPr>
            <w:t xml:space="preserve">4. </w:t>
          </w:r>
          <w:r>
            <w:rPr>
              <w:rFonts w:eastAsia="新細明體" w:cs="Arial" w:cstheme="minorBidi" w:eastAsiaTheme="minorEastAsia"/>
              <w:b/>
              <w:bCs/>
              <w:sz w:val="24"/>
              <w:szCs w:val="24"/>
            </w:rPr>
            <w:t>Приложения…</w:t>
          </w:r>
          <w:r>
            <w:rPr>
              <w:rFonts w:eastAsia="新細明體" w:cs="Arial" w:cstheme="minorBidi" w:eastAsiaTheme="minorEastAsia"/>
              <w:b w:val="false"/>
              <w:bCs w:val="false"/>
              <w:sz w:val="24"/>
              <w:szCs w:val="24"/>
            </w:rPr>
            <w:t>……………………………………………………………………………………....9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>
              <w:rFonts w:eastAsia="新細明體" w:cs="Arial" w:cstheme="minorBidi" w:eastAsiaTheme="minorEastAsia"/>
              <w:b w:val="false"/>
              <w:bCs w:val="false"/>
              <w:sz w:val="20"/>
              <w:szCs w:val="20"/>
            </w:rPr>
            <w:t>4.1.Ведомость объемов работ………………………………………………………………………...…………………</w:t>
          </w:r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</w:rPr>
            <w:t>..10</w:t>
          </w:r>
          <w:r>
            <w:rPr>
              <w:b w:val="false"/>
              <w:bCs w:val="false"/>
              <w:rFonts w:eastAsia="新細明體" w:cs="Arial" w:ascii="Calibri" w:hAnsi="Calibri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54643694"/>
      <w:r>
        <w:rPr>
          <w:lang w:val="ru-RU"/>
        </w:rPr>
        <w:t>Общие сведения</w:t>
      </w:r>
      <w:bookmarkEnd w:id="1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13" w:name="_Toc54643695"/>
      <w:bookmarkStart w:id="14" w:name="_Toc46743505"/>
      <w:r>
        <w:rPr/>
        <w:t>Обозначения и сокращения</w:t>
      </w:r>
      <w:bookmarkEnd w:id="13"/>
      <w:bookmarkEnd w:id="1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/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/>
              <w:t>Транспортные средства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pageBreakBefore w:val="false"/>
        <w:numPr>
          <w:ilvl w:val="1"/>
          <w:numId w:val="3"/>
        </w:numPr>
        <w:rPr>
          <w:sz w:val="22"/>
          <w:szCs w:val="22"/>
        </w:rPr>
      </w:pPr>
      <w:bookmarkStart w:id="15" w:name="_Toc46743506"/>
      <w:bookmarkStart w:id="16" w:name="_Toc54643696"/>
      <w:r>
        <w:rPr>
          <w:sz w:val="22"/>
          <w:szCs w:val="22"/>
        </w:rPr>
        <w:t>Наименование закупаемой продукции</w:t>
      </w:r>
      <w:bookmarkStart w:id="17" w:name="_Toc46743507"/>
      <w:bookmarkEnd w:id="15"/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2"/>
          <w:szCs w:val="22"/>
        </w:rPr>
      </w:pPr>
      <w:r>
        <w:rPr>
          <w:rFonts w:eastAsia="Calibri"/>
          <w:sz w:val="22"/>
          <w:szCs w:val="22"/>
        </w:rPr>
        <w:t>ОКПД2: 71.20.14 Услуги по предрейсовому/послерейсовому контролю технического состояния транспортных средств и выпуску технически исправных транспортных средств к работе в населенном пункте Якутск Якутского ТУ Дальневосточного филиала АО "ТК РусГидро".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2"/>
          <w:szCs w:val="22"/>
        </w:rPr>
      </w:pPr>
      <w:bookmarkStart w:id="18" w:name="_Toc54643697"/>
      <w:r>
        <w:rPr>
          <w:sz w:val="22"/>
          <w:szCs w:val="22"/>
        </w:rPr>
        <w:t xml:space="preserve">Цель </w:t>
      </w:r>
      <w:bookmarkEnd w:id="17"/>
      <w:r>
        <w:rPr>
          <w:sz w:val="22"/>
          <w:szCs w:val="22"/>
          <w:lang w:val="ru-RU"/>
        </w:rPr>
        <w:t>оказания услуг</w:t>
      </w:r>
      <w:bookmarkEnd w:id="18"/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Контроль за техническим состоянием транспортных средств Заказчика для организации исполнения требования Пункта 1 статьи 20 Федерального закона от 10 декабря 1995 г. N 196-ФЗ «О безопасности дорожного движения», с целью исключения выпуска на линию технически неисправных транспортных средств.</w:t>
      </w:r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19" w:name="_Toc54643698"/>
      <w:bookmarkStart w:id="20" w:name="_Toc46743508"/>
      <w:r>
        <w:rPr>
          <w:sz w:val="22"/>
          <w:szCs w:val="22"/>
        </w:rPr>
        <w:t>Существующее положение</w:t>
      </w:r>
      <w:bookmarkEnd w:id="19"/>
      <w:bookmarkEnd w:id="20"/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bookmarkStart w:id="21" w:name="_Toc54643699"/>
      <w:r>
        <w:rPr>
          <w:sz w:val="22"/>
          <w:szCs w:val="22"/>
        </w:rPr>
        <w:t>Федеральный закон от 10 декабря 1995 г. N 196-ФЗ «О безопасности дорожного движения». Приказ Министерства транспорта РФ от 15 января 2021 г. № 9 «Об утверждении Порядка организации и проведения предрейсового или предсменного контроля технического состояния транспортных средств»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</w:rPr>
        <w:t>Таблица 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Перечень объектов заказчика</w:t>
      </w:r>
      <w:bookmarkEnd w:id="21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6"/>
        <w:gridCol w:w="1822"/>
        <w:gridCol w:w="1586"/>
        <w:gridCol w:w="5946"/>
      </w:tblGrid>
      <w:tr>
        <w:trPr>
          <w:trHeight w:val="873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основного средства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 отношении которого оказываются услуги)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Транспортное средство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 г.Якутск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sz w:val="20"/>
                <w:szCs w:val="20"/>
              </w:rPr>
              <w:t>150 О 897 УН 76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Транспортное средство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LAND CRUISER 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У 001 УУ 28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0"/>
                <w:szCs w:val="20"/>
              </w:rPr>
              <w:t>Автобус TOYOTA HIACE, А 057 ЕК 28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Toyota Camry, г.н. А 505 ВС 134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2" w:name="_Toc51339693"/>
      <w:bookmarkStart w:id="23" w:name="_Toc54643702"/>
      <w:bookmarkStart w:id="24" w:name="_Toc50125126"/>
      <w:bookmarkEnd w:id="24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6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92"/>
        <w:gridCol w:w="6154"/>
        <w:gridCol w:w="1959"/>
        <w:gridCol w:w="963"/>
      </w:tblGrid>
      <w:tr>
        <w:trPr>
          <w:trHeight w:val="495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Количество*</w:t>
            </w:r>
          </w:p>
        </w:tc>
      </w:tr>
      <w:tr>
        <w:trPr>
          <w:trHeight w:val="264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1305" w:hRule="exac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ОКПД2: 71.20.14 Услуги по предрейсовому/послерейсовому контролю технического состояния транспортных средств и выпуску технически исправных транспортных средств к работе в населенном пункте Якутск Якутского ТУ Дальневосточного филиала АО "ТК РусГидро"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1976</w:t>
            </w:r>
          </w:p>
        </w:tc>
      </w:tr>
      <w:tr>
        <w:trPr>
          <w:trHeight w:val="1427" w:hRule="exac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предрейсовому/послерейсовому контролю технического состояния транспортных средств.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и объем оказываемых услуг указан в ведомости объемов работ являющейся приложением к настоящим Техническим требованиям </w:t>
            </w:r>
            <w:r>
              <w:rPr>
                <w:sz w:val="22"/>
                <w:szCs w:val="22"/>
                <w:u w:val="single"/>
              </w:rPr>
              <w:t>(Приложение №1)</w:t>
            </w:r>
          </w:p>
        </w:tc>
        <w:tc>
          <w:tcPr>
            <w:tcW w:w="1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Heading3"/>
        <w:numPr>
          <w:ilvl w:val="0"/>
          <w:numId w:val="0"/>
        </w:numPr>
        <w:ind w:left="0" w:hanging="0"/>
        <w:rPr>
          <w:b w:val="false"/>
          <w:i/>
          <w:i/>
          <w:lang w:val="ru-RU"/>
        </w:rPr>
      </w:pPr>
      <w:r>
        <w:rPr>
          <w:i/>
          <w:lang w:val="ru-RU"/>
        </w:rPr>
        <w:t>*</w:t>
      </w:r>
      <w:r>
        <w:rPr>
          <w:b w:val="false"/>
          <w:i/>
          <w:lang w:val="ru-RU"/>
        </w:rPr>
        <w:t>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 одну условную единицу включается: одна услуга по осмотру (контролю) технического состояния ТС, количество осмотров (контроля) ТС в течение дня не ограничено.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bookmarkStart w:id="34" w:name="_Toc50125126_Копия_1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5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3685"/>
        <w:gridCol w:w="2693"/>
        <w:gridCol w:w="2268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6" w:name="_Toc46743510"/>
            <w:r>
              <w:rPr>
                <w:b/>
                <w:sz w:val="24"/>
                <w:szCs w:val="24"/>
              </w:rPr>
              <w:t>4</w:t>
            </w:r>
            <w:bookmarkEnd w:id="36"/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71.20.14 Услуги по предрейсовому/послерейсовому контролю технического состояния транспортных средств и выпуску технически исправных транспортных средств к работе в населенном пункте Якутск Якутского ТУ Дальневосточного филиала АО "ТК РусГидро"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360" w:hanging="0"/>
              <w:rPr/>
            </w:pPr>
            <w:r>
              <w:rPr/>
              <w:t>1.1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предрейсовому/послерейсовому контролю технического состояния транспортных средств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37" w:name="_Toc54643708"/>
      <w:bookmarkStart w:id="38" w:name="_Toc46743511"/>
      <w:r>
        <w:rPr/>
        <w:t xml:space="preserve">Требования к </w:t>
      </w:r>
      <w:bookmarkEnd w:id="38"/>
      <w:r>
        <w:rPr>
          <w:lang w:val="ru-RU"/>
        </w:rPr>
        <w:t>качеству услуг</w:t>
      </w:r>
      <w:bookmarkEnd w:id="37"/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sz w:val="24"/>
          <w:szCs w:val="24"/>
        </w:rPr>
        <w:t>ОКПД2: 71.20.14 Услуги по предрейсовому/послерейсовому контролю технического состояния транспортных средств и выпуску технически исправных транспортных средств к работе в населенном пункте Якутск Якутского ТУ Дальневосточного филиала АО "ТК РусГидро"</w:t>
      </w:r>
    </w:p>
    <w:tbl>
      <w:tblPr>
        <w:tblStyle w:val="af"/>
        <w:tblW w:w="145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1"/>
        <w:gridCol w:w="2953"/>
        <w:gridCol w:w="4712"/>
        <w:gridCol w:w="2176"/>
        <w:gridCol w:w="2165"/>
        <w:gridCol w:w="1574"/>
      </w:tblGrid>
      <w:tr>
        <w:trPr>
          <w:trHeight w:val="766" w:hRule="atLeast"/>
        </w:trPr>
        <w:tc>
          <w:tcPr>
            <w:tcW w:w="9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877" w:hRule="atLeast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176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Основание для оказания услуг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Заказчику услуги по контролю технического состояния транспортных средств при выпуске и возвращению на линию/с линии в соответствии с техническими нормами, требованиями общепринятых стандартов качества, эксплуатационно-техническими нормативными документами регламентирующими порядок организации работ действующими в РФ.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22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средств при оказании услуг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поверенных собственных средств при оказании услуг, соответствующим нормам санитарной и пожарной безопасности. Исполнитель имеет все необходимые разрешительные документы 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10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 осуществляется работником субъекта транспортной деятельности либо работником сторонней организации или привлекаемым для проведения контроля индивидуальным предпринимателем. Работники или индивидуальные предприниматели, указанные в настоящем пункте, осуществляющие контроль, должны соответствовать профессиональным и квалификационным требованиям, предъявляемым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движения", устанавливаемым Минтрансом России в соответствии с пунктом 2 статьи 20 Федерального закона от 10 декабря 1995 г. N 196-ФЗ "О безопасности дорожного движения", предъявляемым к контролеру технического состояния транспортных средств автомобильного транспорта или контролеру технического состояния транспортных средств городского наземного электрического транспорта.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                 </w:t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Федерального закона от 10 декабря 1995 г. N 196-ФЗ «О безопасности дорожного движения».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23.10.1993 №1090 «О правилах дорожного движения».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Министерства транспорта РФ от 15 января 2021 г. № 9 «Об утверждении Порядка организации и проведения предрейсового или предсменного контроля технического состояния транспортных средств»</w:t>
            </w:r>
          </w:p>
        </w:tc>
        <w:tc>
          <w:tcPr>
            <w:tcW w:w="21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оборудованию, помещению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предоставляет помещение, гаражное оборудование, средства технического диагностирования соответствующее требованиям законодательства РФ, регламентирующий требования к данному виду услуг. СИЗ.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71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Услуг квалифицированным персоналом, соответствующим требованиям законодательства РФ. Специально подготовленным и обученным, прошедшим необходимую проверку знаний.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743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71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09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18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47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Фиксирование результатов осмотра: Допускать транспортное средство к эксплуатации при отсутствии у транспортного средства неисправностей и условий, при которых запрещается его эксплуатация.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Отказывать в допуске транспортного средства к эксплуатации, в случае выявления при осмотре признаков неисправностей и условий, угрожающих безопасности дорожного движения и здоровью пассажиров.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71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16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Журнал регистрации результатов контроля технического состояния ТС. Акт сдачи приемки оказанных услуг.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обязан вести учет прохождения предрейсового контроля в Журнале регистрации результатов контроля технического состояния транспортных средств. Исполнитель передает Заказчику акт сдачи-приемки оказанных услуг в двух экземплярах 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72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7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25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1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06" w:hRule="atLeast"/>
        </w:trPr>
        <w:tc>
          <w:tcPr>
            <w:tcW w:w="9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гарантирует сохранность транспортного средства Заказчика в исправном техническом состоянии и качество оказываемых услуг.</w:t>
            </w:r>
          </w:p>
        </w:tc>
        <w:tc>
          <w:tcPr>
            <w:tcW w:w="2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jc w:val="left"/>
        <w:rPr/>
      </w:pPr>
      <w:r>
        <w:rPr/>
        <w:t>Требования к документации по ценообразованию на этапе заключения (исполнения) договора</w:t>
      </w:r>
    </w:p>
    <w:p>
      <w:pPr>
        <w:pStyle w:val="Normal"/>
        <w:keepNext w:val="true"/>
        <w:numPr>
          <w:ilvl w:val="1"/>
          <w:numId w:val="3"/>
        </w:numPr>
        <w:jc w:val="both"/>
        <w:outlineLvl w:val="3"/>
        <w:rPr>
          <w:rFonts w:eastAsia="Calibri"/>
          <w:bCs/>
          <w:lang w:val="x-none" w:eastAsia="x-none"/>
        </w:rPr>
      </w:pPr>
      <w:r>
        <w:rPr>
          <w:rFonts w:eastAsia="Calibri"/>
          <w:bCs/>
          <w:lang w:val="x-none" w:eastAsia="x-none"/>
        </w:rPr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rmal"/>
        <w:keepNext w:val="true"/>
        <w:numPr>
          <w:ilvl w:val="1"/>
          <w:numId w:val="3"/>
        </w:numPr>
        <w:jc w:val="both"/>
        <w:outlineLvl w:val="3"/>
        <w:rPr>
          <w:rFonts w:eastAsia="Calibri"/>
          <w:bCs/>
          <w:lang w:val="x-none" w:eastAsia="x-none"/>
        </w:rPr>
      </w:pPr>
      <w:r>
        <w:rPr>
          <w:rFonts w:eastAsia="Calibri"/>
          <w:bCs/>
          <w:lang w:val="x-none" w:eastAsia="x-none"/>
        </w:rPr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both"/>
        <w:outlineLvl w:val="3"/>
        <w:rPr>
          <w:rFonts w:eastAsia="Calibri"/>
          <w:bCs/>
          <w:lang w:val="x-none" w:eastAsia="x-none"/>
        </w:rPr>
      </w:pPr>
      <w:r>
        <w:rPr>
          <w:rFonts w:eastAsia="Calibri"/>
          <w:bCs/>
          <w:lang w:val="x-none" w:eastAsia="x-none"/>
        </w:rPr>
      </w:r>
    </w:p>
    <w:p>
      <w:pPr>
        <w:pStyle w:val="Normal"/>
        <w:jc w:val="center"/>
        <w:rPr>
          <w:b/>
        </w:rPr>
      </w:pPr>
      <w:r>
        <w:rPr>
          <w:b/>
        </w:rPr>
        <w:t>4. Приложения</w:t>
      </w:r>
    </w:p>
    <w:p>
      <w:pPr>
        <w:pStyle w:val="Normal"/>
        <w:rPr/>
      </w:pPr>
      <w:r>
        <w:rPr/>
        <w:t>4.1. Ведомость объемов работ.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bookmarkStart w:id="39" w:name="_Toc54643709_Копия_1_Копия_1"/>
      <w:bookmarkStart w:id="40" w:name="_Toc51339698_Копия_1_Копия_1"/>
      <w:bookmarkStart w:id="41" w:name="_Toc54643709"/>
      <w:bookmarkStart w:id="42" w:name="_Toc51339698"/>
      <w:bookmarkStart w:id="43" w:name="_Toc54643709_Копия_1"/>
      <w:bookmarkStart w:id="44" w:name="_Toc51339698_Копия_1"/>
      <w:bookmarkStart w:id="45" w:name="_Toc54643709_Копия_1_Копия_1"/>
      <w:bookmarkStart w:id="46" w:name="_Toc51339698_Копия_1_Копия_1"/>
      <w:bookmarkStart w:id="47" w:name="_Toc54643709"/>
      <w:bookmarkStart w:id="48" w:name="_Toc51339698"/>
      <w:bookmarkStart w:id="49" w:name="_Toc54643709_Копия_1"/>
      <w:bookmarkStart w:id="50" w:name="_Toc51339698_Копия_1"/>
      <w:bookmarkEnd w:id="45"/>
      <w:bookmarkEnd w:id="46"/>
      <w:bookmarkEnd w:id="47"/>
      <w:bookmarkEnd w:id="48"/>
      <w:bookmarkEnd w:id="49"/>
      <w:bookmarkEnd w:id="50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002" w:right="992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655" w:leader="none"/>
        </w:tabs>
        <w:rPr>
          <w:sz w:val="24"/>
          <w:szCs w:val="24"/>
        </w:rPr>
      </w:pPr>
      <w:bookmarkStart w:id="51" w:name="_Toc54643709_Копия_1_Копия_1"/>
      <w:bookmarkStart w:id="52" w:name="_Toc51339698_Копия_1_Копия_1"/>
      <w:bookmarkEnd w:id="51"/>
      <w:bookmarkEnd w:id="52"/>
      <w:r>
        <w:rPr>
          <w:sz w:val="24"/>
          <w:szCs w:val="24"/>
        </w:rPr>
        <w:tab/>
      </w:r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r>
        <w:rPr>
          <w:rStyle w:val="Strong"/>
          <w:b w:val="false"/>
          <w:sz w:val="24"/>
          <w:szCs w:val="24"/>
        </w:rPr>
        <w:t xml:space="preserve">Приложение №1 </w:t>
      </w:r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r>
        <w:rPr>
          <w:rStyle w:val="Strong"/>
          <w:b w:val="false"/>
          <w:sz w:val="24"/>
          <w:szCs w:val="24"/>
        </w:rPr>
        <w:t>к Техническим требованиям</w:t>
      </w:r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Ведомость объемов работ</w:t>
      </w:r>
    </w:p>
    <w:tbl>
      <w:tblPr>
        <w:tblW w:w="100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87"/>
        <w:gridCol w:w="1752"/>
        <w:gridCol w:w="7658"/>
      </w:tblGrid>
      <w:tr>
        <w:trPr>
          <w:trHeight w:val="727" w:hRule="atLeas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№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Наименование услуг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Содержание услуг</w:t>
            </w:r>
          </w:p>
        </w:tc>
      </w:tr>
      <w:tr>
        <w:trPr>
          <w:trHeight w:val="284" w:hRule="atLeas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2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3</w:t>
            </w:r>
          </w:p>
        </w:tc>
      </w:tr>
      <w:tr>
        <w:trPr>
          <w:trHeight w:val="12300" w:hRule="exac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Услуги по предрейсовому контролю технического состояния транспортных средств.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lang w:eastAsia="x-none"/>
              </w:rPr>
            </w:pPr>
            <w:r>
              <w:rPr>
                <w:rFonts w:eastAsia="Calibri"/>
                <w:lang w:eastAsia="x-none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 xml:space="preserve">1. </w:t>
            </w:r>
            <w:r>
              <w:rPr>
                <w:rFonts w:eastAsia="Calibri"/>
                <w:sz w:val="20"/>
                <w:szCs w:val="20"/>
                <w:lang w:val="x-none" w:eastAsia="x-none"/>
              </w:rPr>
              <w:t>При проведении контроля должны быть проверены: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1) исправность: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тормозной системы (включая манометр пневматического или пневмогидравлического тормозных приводов, если их установка предусмотрена конструкцией транспортного средства);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рулевого управления;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стеклоомывателей;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колес (кроме трамвая);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шин (кроме трамвая);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звукового сигнала;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2) исправность предусмотренных конструкцией транспортного средства: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 xml:space="preserve">замков дверей кузова 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устройств фиксации подушки и спинки водительского сиденья;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устройств обогрева и обдува стекол;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держателя запасного колеса (кроме трамвая);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3) наличие предусмотренных конструкцией транспортного средства: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индикации на щитке приборов, свидетельствующей о неисправности, влияющей на безопасность дорожного движения (проверяется при работающем двигателе);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стекол и обзорности с места водителя;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зеркал заднего вида и их креплений;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заднего защитного устройства, грязезащитных фартуков и брызговиков;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ремней безопасности (если обязательность их установки предусмотрена законодательством Российской Федерации) и (или) подголовников сидений и их работоспособность;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4) работоспособность в установленном режиме: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стеклоочистителей;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внешних световых приборов и световозвращателей;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5) герметичность систем, узлов и агрегатов транспортного средства, в том числе системы выпуска отработавших газов, а также дополнительно устанавливаемых на транспортное средство гидравлических устройств;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6) укомплектованность медицинской аптечкой, огнетушителем и противооткатными упорами (для грузовых транспортных средств и автобусов);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7) отсутствие внесенных в конструкцию транспортного средства изменений в нарушение установленного порядка, предусмотренного разделом 4 главы V Технического регламента, в части газобаллонного оборудования, кузовов транспортных средств, бортов грузовой платформы (для грузовых транспортных средств), дополнительных сидений, фар ближнего света, противотуманных фар (при наличии) и дневных ходовых огней (при наличии);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rFonts w:eastAsia="Calibri"/>
                <w:sz w:val="20"/>
                <w:szCs w:val="20"/>
                <w:lang w:val="x-none" w:eastAsia="x-none"/>
              </w:rPr>
              <w:t>8) отсутствие установленных на передней части транспортного средства световых приборов с огнями красного цвета или световозвращающих приспособлений красного цвета, на транспортном средстве устройств для подачи специальных световых или звуковых сигналов (за исключением охранной сигнализации) без соответствующего разрешения, а также незаконно нанесенных на наружные поверхности транспортного средства специальных цветографических схем автомобилей оперативных служб;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Контроль показаний одометра ТС</w:t>
            </w:r>
          </w:p>
          <w:p>
            <w:pPr>
              <w:pStyle w:val="ListParagraph"/>
              <w:widowControl w:val="false"/>
              <w:ind w:left="360" w:hanging="0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По результатам предрейсового технического осмотра (контроля) транспортных средств Исполнитель делает отметку в путевом листе</w:t>
            </w:r>
          </w:p>
        </w:tc>
      </w:tr>
    </w:tbl>
    <w:p>
      <w:pPr>
        <w:pStyle w:val="Normal"/>
        <w:rPr>
          <w:rFonts w:eastAsia="Calibri"/>
          <w:lang w:val="x-none"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20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546A-ABF8-43BF-B961-8481F5C5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AlterOffice/3.4.0.9$Linux_X86_64 LibreOffice_project/b8daf9e823b1a5463a2f48435ddc2e8696e7d4fc</Application>
  <AppVersion>15.0000</AppVersion>
  <Pages>8</Pages>
  <Words>1591</Words>
  <Characters>11469</Characters>
  <CharactersWithSpaces>12850</CharactersWithSpaces>
  <Paragraphs>234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2023-11-15T06:27:00Z</dcterms:created>
  <dc:creator>Быстров Олег Геннадьевич</dc:creator>
  <dc:description/>
  <dc:language>ru-RU</dc:language>
  <cp:lastModifiedBy>sopinav@corp.gidroogk.com</cp:lastModifiedBy>
  <cp:lastPrinted>2025-05-29T10:19:41Z</cp:lastPrinted>
  <dcterms:modified xsi:type="dcterms:W3CDTF">2026-06-10T12:57:57Z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