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  <w:t>Шкаф защит системы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szCs w:val="24"/>
        </w:rPr>
      </w:pPr>
      <w:r>
        <w:rPr>
          <w:szCs w:val="24"/>
          <w:shd w:fill="FFFF00" w:val="clear"/>
        </w:rPr>
        <w:t>ОКП</w:t>
      </w:r>
      <w:r>
        <w:rPr>
          <w:color w:val="000000"/>
          <w:szCs w:val="24"/>
          <w:shd w:fill="FFFF00" w:val="clear"/>
        </w:rPr>
        <w:t>Д2 27.12.32</w:t>
      </w:r>
      <w:r>
        <w:rPr>
          <w:color w:val="auto"/>
          <w:szCs w:val="24"/>
        </w:rPr>
        <w:t xml:space="preserve"> </w:t>
      </w:r>
      <w:r>
        <w:rPr>
          <w:szCs w:val="24"/>
        </w:rPr>
        <w:t xml:space="preserve"> П</w:t>
      </w:r>
      <w:r>
        <w:rPr>
          <w:b w:val="false"/>
          <w:bCs w:val="false"/>
          <w:sz w:val="24"/>
          <w:szCs w:val="24"/>
          <w:lang w:eastAsia="en-US"/>
        </w:rPr>
        <w:t xml:space="preserve">оставка </w:t>
      </w:r>
      <w:r>
        <w:rPr>
          <w:b w:val="false"/>
          <w:bCs w:val="false"/>
          <w:sz w:val="24"/>
          <w:szCs w:val="24"/>
        </w:rPr>
        <w:t>шкафа защит системы возбуждения генератора ст.н.</w:t>
      </w:r>
      <w:r>
        <w:rPr>
          <w:b w:val="false"/>
          <w:bCs w:val="false"/>
          <w:sz w:val="24"/>
          <w:szCs w:val="24"/>
        </w:rPr>
        <w:t>7</w:t>
      </w:r>
      <w:r>
        <w:rPr>
          <w:szCs w:val="24"/>
        </w:rPr>
        <w:t xml:space="preserve"> для выполнения строительно-монтажных работ на Нижегородской ГЭС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highlight w:val="none"/>
          <w:shd w:fill="FFFF00" w:val="clear"/>
        </w:rPr>
      </w:pPr>
      <w:r>
        <w:rPr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4"/>
        <w:tabs>
          <w:tab w:val="clear" w:pos="0"/>
          <w:tab w:val="left" w:pos="709" w:leader="none"/>
        </w:tabs>
        <w:ind w:left="432" w:hanging="0"/>
        <w:rPr/>
      </w:pPr>
      <w:r>
        <w:rPr>
          <w:lang w:val="ru-RU"/>
        </w:rPr>
        <w:t xml:space="preserve">    </w:t>
      </w: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0" w:name="_Toc46743506"/>
      <w:bookmarkStart w:id="1" w:name="_Toc75446568"/>
      <w:r>
        <w:rPr/>
        <w:t>Наименование закупаемой продукции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left"/>
        <w:outlineLvl w:val="0"/>
        <w:rPr>
          <w:szCs w:val="24"/>
        </w:rPr>
      </w:pPr>
      <w:r>
        <w:rPr>
          <w:szCs w:val="24"/>
        </w:rPr>
        <w:tab/>
      </w:r>
      <w:r>
        <w:rPr>
          <w:szCs w:val="24"/>
          <w:shd w:fill="FFFF00" w:val="clear"/>
        </w:rPr>
        <w:t>ОКП</w:t>
      </w:r>
      <w:r>
        <w:rPr>
          <w:color w:val="000000"/>
          <w:szCs w:val="24"/>
          <w:shd w:fill="FFFF00" w:val="clear"/>
        </w:rPr>
        <w:t>Д2 27.12.32</w:t>
      </w:r>
      <w:r>
        <w:rPr>
          <w:color w:val="auto"/>
          <w:szCs w:val="24"/>
        </w:rPr>
        <w:t xml:space="preserve"> П</w:t>
      </w:r>
      <w:r>
        <w:rPr>
          <w:b w:val="false"/>
          <w:bCs w:val="false"/>
          <w:color w:val="auto"/>
          <w:sz w:val="24"/>
          <w:szCs w:val="24"/>
          <w:lang w:eastAsia="en-US"/>
        </w:rPr>
        <w:t xml:space="preserve">оставка </w:t>
      </w:r>
      <w:r>
        <w:rPr>
          <w:b w:val="false"/>
          <w:bCs w:val="false"/>
          <w:color w:val="auto"/>
          <w:sz w:val="24"/>
          <w:szCs w:val="24"/>
        </w:rPr>
        <w:t>шкафа защит системы возбуждения генератора ст.н.</w:t>
      </w:r>
      <w:r>
        <w:rPr>
          <w:b w:val="false"/>
          <w:bCs w:val="false"/>
          <w:color w:val="auto"/>
          <w:sz w:val="24"/>
          <w:szCs w:val="24"/>
        </w:rPr>
        <w:t xml:space="preserve">7 </w:t>
      </w:r>
      <w:r>
        <w:rPr>
          <w:color w:val="auto"/>
          <w:szCs w:val="24"/>
        </w:rPr>
        <w:t>для выполнения строительно-монтажных работ на Нижегородской ГЭС</w:t>
      </w:r>
      <w:r>
        <w:rPr>
          <w:szCs w:val="24"/>
        </w:rPr>
        <w:t xml:space="preserve"> (далее продукция).</w:t>
      </w:r>
      <w:bookmarkStart w:id="2" w:name="_Toc75446569"/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  <w:bookmarkEnd w:id="2"/>
      <w:r>
        <w:rPr/>
        <w:t xml:space="preserve"> </w:t>
      </w:r>
    </w:p>
    <w:p>
      <w:pPr>
        <w:pStyle w:val="Normal"/>
        <w:ind w:firstLine="432"/>
        <w:jc w:val="both"/>
        <w:rPr>
          <w:rFonts w:eastAsia="Times New Roman" w:cs="Times New Roman"/>
          <w:bCs/>
          <w:szCs w:val="24"/>
          <w:shd w:fill="FFFFFF" w:val="clear"/>
          <w:lang w:eastAsia="ru-RU"/>
        </w:rPr>
      </w:pPr>
      <w:r>
        <w:rPr>
          <w:rFonts w:eastAsia="Times New Roman" w:cs="Times New Roman"/>
          <w:bCs/>
          <w:szCs w:val="24"/>
          <w:shd w:fill="FFFFFF" w:val="clear"/>
          <w:lang w:eastAsia="ru-RU"/>
        </w:rPr>
        <w:tab/>
        <w:t>Исполнение доходных договоров:</w:t>
      </w:r>
    </w:p>
    <w:p>
      <w:pPr>
        <w:pStyle w:val="Normal"/>
        <w:ind w:firstLine="432"/>
        <w:jc w:val="both"/>
        <w:rPr>
          <w:szCs w:val="24"/>
        </w:rPr>
      </w:pPr>
      <w:r>
        <w:rPr>
          <w:szCs w:val="24"/>
        </w:rPr>
        <w:t xml:space="preserve">- №1240-129-2021 от 12.07.2021 «Строительно-монтажные и пусконаладочные работы по замене гидроагрегата ст.№1,4,7» для нужд филиала ПАО «РусГидро»-«Нижегородская ГЭС» </w:t>
      </w:r>
      <w:r>
        <w:rPr>
          <w:rFonts w:eastAsia="Times New Roman" w:cs="Times New Roman"/>
          <w:bCs/>
          <w:szCs w:val="24"/>
          <w:shd w:fill="FFFFFF" w:val="clear"/>
          <w:lang w:eastAsia="ru-RU"/>
        </w:rPr>
        <w:t>(заключенный между ПАО «РусГидро» и АО «Гидроремонт-ВКК»)</w:t>
      </w:r>
      <w:r>
        <w:rPr>
          <w:rStyle w:val="Style"/>
          <w:b w:val="false"/>
          <w:bCs/>
          <w:i w:val="false"/>
          <w:szCs w:val="24"/>
          <w:shd w:fill="FFFFFF" w:val="clear"/>
        </w:rPr>
        <w:t>.</w:t>
      </w:r>
    </w:p>
    <w:p>
      <w:pPr>
        <w:pStyle w:val="Normal"/>
        <w:ind w:firstLine="432"/>
        <w:jc w:val="both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0" w:firstLine="709"/>
        <w:rPr>
          <w:caps/>
          <w:lang w:val="ru-RU"/>
        </w:rPr>
      </w:pPr>
      <w:bookmarkStart w:id="4" w:name="_Toc51339693"/>
      <w:bookmarkStart w:id="5" w:name="_Toc75446573"/>
      <w:r>
        <w:rPr/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1"/>
        </w:numPr>
        <w:ind w:left="0" w:firstLine="709"/>
        <w:rPr/>
      </w:pPr>
      <w:bookmarkStart w:id="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/>
      </w:pPr>
      <w:bookmarkStart w:id="7" w:name="_Toc75446575"/>
      <w:r>
        <w:rPr/>
        <w:t>Перечень и объем закупаемой продукции</w:t>
      </w:r>
      <w:bookmarkEnd w:id="7"/>
    </w:p>
    <w:p>
      <w:pPr>
        <w:pStyle w:val="Normal"/>
        <w:jc w:val="both"/>
        <w:rPr>
          <w:szCs w:val="24"/>
        </w:rPr>
      </w:pPr>
      <w:bookmarkStart w:id="8" w:name="_Toc75446576"/>
      <w:bookmarkStart w:id="9" w:name="_Toc51339695"/>
      <w:r>
        <w:rPr>
          <w:szCs w:val="24"/>
        </w:rPr>
        <w:t xml:space="preserve">Таблица 2.1 Перечень </w:t>
      </w:r>
      <w:bookmarkEnd w:id="9"/>
      <w:r>
        <w:rPr>
          <w:szCs w:val="24"/>
        </w:rPr>
        <w:t>и объем закупаемой продукци</w:t>
      </w:r>
      <w:bookmarkEnd w:id="8"/>
      <w:r>
        <w:rPr>
          <w:szCs w:val="24"/>
        </w:rPr>
        <w:t>и</w:t>
      </w:r>
    </w:p>
    <w:tbl>
      <w:tblPr>
        <w:tblStyle w:val="affffd"/>
        <w:tblW w:w="94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6076"/>
        <w:gridCol w:w="1300"/>
        <w:gridCol w:w="1429"/>
      </w:tblGrid>
      <w:tr>
        <w:trPr>
          <w:trHeight w:val="567" w:hRule="atLeast"/>
        </w:trPr>
        <w:tc>
          <w:tcPr>
            <w:tcW w:w="67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60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</w:tr>
      <w:tr>
        <w:trPr>
          <w:trHeight w:val="221" w:hRule="atLeast"/>
        </w:trPr>
        <w:tc>
          <w:tcPr>
            <w:tcW w:w="67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076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0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9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6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07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Шкаф защит системы возбуждения генератора *</w:t>
            </w:r>
          </w:p>
        </w:tc>
        <w:tc>
          <w:tcPr>
            <w:tcW w:w="2729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/>
                <w:spacing w:val="-4"/>
                <w:kern w:val="0"/>
                <w:sz w:val="24"/>
                <w:szCs w:val="24"/>
                <w:lang w:val="ru-RU" w:eastAsia="en-US" w:bidi="ar-SA"/>
              </w:rPr>
              <w:t>В соответствии с приложением №1,  к настоящим Техническим требованиям</w:t>
            </w:r>
          </w:p>
        </w:tc>
      </w:tr>
      <w:tr>
        <w:trPr>
          <w:trHeight w:val="400" w:hRule="atLeast"/>
        </w:trPr>
        <w:tc>
          <w:tcPr>
            <w:tcW w:w="9479" w:type="dxa"/>
            <w:gridSpan w:val="4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360" w:hanging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* В стоимость закупаемой продукции включены пусконаладочные и шефмонтажные работы.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36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Поставка оборудования выполняется в таком объёме, которая позволяет начать его использование без доработки и закупки дополнительных комплектующих, расходных материалов и изделий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1"/>
        </w:numPr>
        <w:ind w:left="0" w:firstLine="709"/>
        <w:rPr>
          <w:color w:val="auto"/>
        </w:rPr>
      </w:pPr>
      <w:r>
        <w:rPr>
          <w:color w:val="auto"/>
        </w:rPr>
        <w:t xml:space="preserve">Требования к срокам поставки продукции </w:t>
      </w:r>
    </w:p>
    <w:p>
      <w:pPr>
        <w:pStyle w:val="Normal"/>
        <w:rPr>
          <w:color w:val="auto"/>
        </w:rPr>
      </w:pPr>
      <w:bookmarkStart w:id="10" w:name="_Toc75446579"/>
      <w:bookmarkStart w:id="11" w:name="_Toc51339697"/>
      <w:bookmarkStart w:id="12" w:name="_Toc50125127"/>
      <w:r>
        <w:rPr>
          <w:rFonts w:eastAsia="Calibri"/>
          <w:color w:val="auto"/>
          <w:szCs w:val="24"/>
          <w:lang w:eastAsia="x-none"/>
        </w:rPr>
        <w:t xml:space="preserve">Таблица 2.2 </w:t>
      </w:r>
      <w:bookmarkStart w:id="13" w:name="_Hlk50465284"/>
      <w:r>
        <w:rPr>
          <w:rFonts w:eastAsia="Calibri"/>
          <w:color w:val="auto"/>
          <w:szCs w:val="24"/>
          <w:lang w:eastAsia="x-none"/>
        </w:rPr>
        <w:t xml:space="preserve">Требования по срокам </w:t>
      </w:r>
      <w:bookmarkEnd w:id="11"/>
      <w:bookmarkEnd w:id="12"/>
      <w:bookmarkEnd w:id="13"/>
      <w:r>
        <w:rPr>
          <w:rFonts w:eastAsia="Calibri"/>
          <w:color w:val="auto"/>
          <w:szCs w:val="24"/>
          <w:lang w:eastAsia="x-none"/>
        </w:rPr>
        <w:t>поставки продукции</w:t>
      </w:r>
      <w:bookmarkEnd w:id="10"/>
      <w:r>
        <w:rPr>
          <w:rFonts w:eastAsia="Calibri"/>
          <w:color w:val="auto"/>
          <w:szCs w:val="24"/>
          <w:lang w:eastAsia="x-none"/>
        </w:rPr>
        <w:t xml:space="preserve"> 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746"/>
        <w:gridCol w:w="2210"/>
        <w:gridCol w:w="2835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 xml:space="preserve">№ </w:t>
            </w:r>
            <w:r>
              <w:rPr>
                <w:color w:val="auto"/>
                <w:szCs w:val="24"/>
              </w:rPr>
              <w:t>п/п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Наименование продукции / партии продукции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  <w:t>1.1.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Шкаф защит системы возбуждения генератора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С даты подписания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auto"/>
                <w:szCs w:val="24"/>
              </w:rPr>
              <w:t xml:space="preserve">В течение </w:t>
            </w:r>
            <w:r>
              <w:rPr>
                <w:color w:val="000000"/>
                <w:szCs w:val="24"/>
                <w:shd w:fill="FFFF00" w:val="clear"/>
              </w:rPr>
              <w:t>125</w:t>
            </w:r>
            <w:r>
              <w:rPr>
                <w:color w:val="auto"/>
                <w:szCs w:val="24"/>
              </w:rPr>
              <w:t xml:space="preserve"> 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rFonts w:eastAsia="Calibri"/>
          <w:szCs w:val="24"/>
          <w:lang w:eastAsia="x-none"/>
        </w:rPr>
      </w:pPr>
      <w:bookmarkStart w:id="14" w:name="_Toc75446582"/>
      <w:r>
        <w:rPr>
          <w:rFonts w:eastAsia="Calibri"/>
          <w:szCs w:val="24"/>
          <w:lang w:eastAsia="x-none"/>
        </w:rPr>
        <w:t xml:space="preserve">          </w:t>
      </w:r>
      <w:r>
        <w:rPr>
          <w:rFonts w:eastAsia="Calibri"/>
          <w:szCs w:val="24"/>
          <w:lang w:eastAsia="x-none"/>
        </w:rPr>
        <w:t>Таблица 2.3. Требования к продукции</w:t>
      </w:r>
      <w:bookmarkEnd w:id="14"/>
    </w:p>
    <w:tbl>
      <w:tblPr>
        <w:tblW w:w="15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9"/>
        <w:gridCol w:w="4311"/>
        <w:gridCol w:w="2038"/>
        <w:gridCol w:w="2249"/>
        <w:gridCol w:w="1757"/>
        <w:gridCol w:w="2109"/>
        <w:gridCol w:w="2046"/>
      </w:tblGrid>
      <w:tr>
        <w:trPr>
          <w:trHeight w:val="20" w:hRule="atLeast"/>
        </w:trPr>
        <w:tc>
          <w:tcPr>
            <w:tcW w:w="15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Cs w:val="24"/>
              </w:rPr>
              <w:t>Наименование продукции (позиции № 1.1. Таблицы 2.1):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pacing w:lineRule="auto" w:line="276"/>
              <w:ind w:left="0" w:hanging="0"/>
              <w:jc w:val="left"/>
              <w:outlineLvl w:val="0"/>
              <w:rPr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</w:t>
            </w:r>
            <w:r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оставка </w:t>
            </w:r>
            <w:r>
              <w:rPr>
                <w:b/>
                <w:bCs/>
                <w:color w:val="auto"/>
                <w:sz w:val="24"/>
                <w:szCs w:val="24"/>
              </w:rPr>
              <w:t>шкафа защит системы возбуждения генератора ст.н.4 для выполнения строительно-монтажных работ на Нижегородской ГЭС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(далее продукция)</w:t>
            </w:r>
          </w:p>
        </w:tc>
      </w:tr>
      <w:tr>
        <w:trPr>
          <w:trHeight w:val="20" w:hRule="atLeast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4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продукции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Наименование параметра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Требование заказчика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Соответствие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стандартам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eastAsia="Calibri"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43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7</w:t>
            </w:r>
          </w:p>
        </w:tc>
      </w:tr>
      <w:tr>
        <w:trPr>
          <w:trHeight w:val="20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4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b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71" w:hRule="atLeast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/>
              <w:t>1.1.</w:t>
            </w:r>
          </w:p>
        </w:tc>
        <w:tc>
          <w:tcPr>
            <w:tcW w:w="4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Шкаф защит системы возбуждения генератора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/>
                <w:color w:val="auto"/>
                <w:szCs w:val="24"/>
                <w:lang w:eastAsia="ru-RU"/>
              </w:rPr>
              <w:t>Тип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ШЭ1113-910ЕТ-61Е2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eastAsia="Calibri" w:cs="Times New Roman"/>
                <w:color w:val="auto"/>
                <w:szCs w:val="24"/>
                <w:lang w:eastAsia="ru-RU"/>
              </w:rPr>
              <w:t>-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235" w:hRule="atLeast"/>
        </w:trPr>
        <w:tc>
          <w:tcPr>
            <w:tcW w:w="7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43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ООО НПП «ЭКРА»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6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" w:hRule="atLeast"/>
        </w:trPr>
        <w:tc>
          <w:tcPr>
            <w:tcW w:w="7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43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auto"/>
                <w:szCs w:val="24"/>
              </w:rPr>
              <w:t>Соответствие чертежу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color w:val="auto"/>
                <w:szCs w:val="24"/>
              </w:rPr>
              <w:t>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027-014-1-ЭО3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(прил. №1 к настоящим техническим требованиям)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6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" w:hRule="atLeast"/>
        </w:trPr>
        <w:tc>
          <w:tcPr>
            <w:tcW w:w="7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43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ЗИП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Комплект запасных блоков для шкафов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ШЭ1113-910ЕТ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6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035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</w:p>
        </w:tc>
        <w:tc>
          <w:tcPr>
            <w:tcW w:w="204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</w:p>
        </w:tc>
      </w:tr>
      <w:tr>
        <w:trPr>
          <w:trHeight w:val="278" w:hRule="atLeast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i/>
                <w:szCs w:val="24"/>
                <w:lang w:eastAsia="x-none"/>
              </w:rPr>
              <w:t>Место поставки</w:t>
            </w:r>
          </w:p>
        </w:tc>
        <w:tc>
          <w:tcPr>
            <w:tcW w:w="60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606520, Российская Федерация, Нижегородская область, г. Заволжье, ул. Привокзальная, д. 14</w:t>
            </w:r>
          </w:p>
        </w:tc>
        <w:tc>
          <w:tcPr>
            <w:tcW w:w="2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04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i/>
                <w:szCs w:val="24"/>
                <w:lang w:eastAsia="x-none"/>
              </w:rPr>
              <w:t>Приемка продукции</w:t>
            </w:r>
          </w:p>
        </w:tc>
        <w:tc>
          <w:tcPr>
            <w:tcW w:w="60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Осуществляется только в рабочие дни с 9-00 до 11-00 и с 13-00 до 16-00.</w:t>
            </w:r>
          </w:p>
        </w:tc>
        <w:tc>
          <w:tcPr>
            <w:tcW w:w="2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4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103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4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85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</w:p>
        </w:tc>
        <w:tc>
          <w:tcPr>
            <w:tcW w:w="2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</w:p>
        </w:tc>
        <w:tc>
          <w:tcPr>
            <w:tcW w:w="204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</w:p>
        </w:tc>
      </w:tr>
      <w:tr>
        <w:trPr>
          <w:trHeight w:val="278" w:hRule="atLeast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i/>
                <w:szCs w:val="24"/>
                <w:lang w:eastAsia="x-none"/>
              </w:rPr>
              <w:t>Сроки гарантии</w:t>
            </w:r>
          </w:p>
        </w:tc>
        <w:tc>
          <w:tcPr>
            <w:tcW w:w="42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i/>
                <w:szCs w:val="24"/>
                <w:lang w:eastAsia="x-none"/>
              </w:rPr>
              <w:t>Не менее 60 месяцев с даты подписания сторонами ТОРГ-12 (УПД)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2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4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85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</w:p>
        </w:tc>
        <w:tc>
          <w:tcPr>
            <w:tcW w:w="2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4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i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42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товарную накладную унифицированной формы ТОРГ-12(УПД) в 2 экз., транспортную накладную.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spacing w:val="-4"/>
                <w:kern w:val="0"/>
                <w:sz w:val="24"/>
                <w:szCs w:val="24"/>
                <w:lang w:val="ru-RU" w:eastAsia="en-US" w:bidi="ar-SA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spacing w:val="-4"/>
                <w:kern w:val="0"/>
                <w:sz w:val="24"/>
                <w:szCs w:val="24"/>
                <w:lang w:val="ru-RU" w:eastAsia="en-US" w:bidi="ar-SA"/>
              </w:rPr>
              <w:t>Предоставляется при поставке продукции: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spacing w:val="-4"/>
                <w:kern w:val="0"/>
                <w:sz w:val="24"/>
                <w:szCs w:val="24"/>
                <w:lang w:val="ru-RU" w:eastAsia="en-US" w:bidi="ar-SA"/>
              </w:rPr>
              <w:t>- Паспорт и руководство (инструкция) по эксплуатации на русском языке;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spacing w:val="-4"/>
                <w:kern w:val="0"/>
                <w:sz w:val="24"/>
                <w:szCs w:val="24"/>
                <w:lang w:val="ru-RU" w:eastAsia="en-US" w:bidi="ar-SA"/>
              </w:rPr>
              <w:t>- Сертификат или декларация соответствия согласно ТР ТС 004/2011 О безопасности низковольтного оборудования»;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lang w:val="ru-RU" w:bidi="ar-SA"/>
              </w:rPr>
            </w:pPr>
            <w:r>
              <w:rPr>
                <w:rFonts w:eastAsia="Times New Roman" w:cs="Times New Roman"/>
                <w:i/>
                <w:iCs/>
                <w:spacing w:val="-4"/>
                <w:kern w:val="0"/>
                <w:sz w:val="24"/>
                <w:szCs w:val="24"/>
                <w:lang w:val="ru-RU" w:eastAsia="en-US" w:bidi="ar-SA"/>
              </w:rPr>
              <w:t>- Сертификат или декларация соответствия согласно ТР ТС 020/2011 «Электромагнитная совместимость технических средств».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2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4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85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</w:p>
        </w:tc>
        <w:tc>
          <w:tcPr>
            <w:tcW w:w="2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4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5.1.</w:t>
            </w:r>
          </w:p>
        </w:tc>
        <w:tc>
          <w:tcPr>
            <w:tcW w:w="103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 w:val="false"/>
                <w:sz w:val="22"/>
                <w:szCs w:val="22"/>
                <w:shd w:fill="auto" w:val="clear"/>
                <w:lang w:eastAsia="x-none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Style w:val="Style"/>
                <w:rFonts w:eastAsia="Times New Roman" w:cs="Times New Roman"/>
                <w:b w:val="false"/>
                <w:bCs/>
                <w:i/>
                <w:iCs/>
                <w:color w:val="000000"/>
                <w:kern w:val="0"/>
                <w:sz w:val="22"/>
                <w:szCs w:val="22"/>
                <w:shd w:fill="auto" w:val="clear"/>
                <w:lang w:val="ru-RU" w:eastAsia="x-none" w:bidi="ar-SA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4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6.</w:t>
            </w:r>
          </w:p>
        </w:tc>
        <w:tc>
          <w:tcPr>
            <w:tcW w:w="145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Требования к рабочей документации и чертежам</w:t>
            </w:r>
          </w:p>
        </w:tc>
      </w:tr>
      <w:tr>
        <w:trPr>
          <w:trHeight w:val="278" w:hRule="atLeast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6.1</w:t>
            </w:r>
          </w:p>
        </w:tc>
        <w:tc>
          <w:tcPr>
            <w:tcW w:w="145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Рабочая документация и чертежи предоставляются по официальному запросу через секретаря закупочной комиссии.</w:t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426" w:footer="708" w:bottom="85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keepLines/>
        <w:numPr>
          <w:ilvl w:val="0"/>
          <w:numId w:val="1"/>
        </w:numPr>
        <w:tabs>
          <w:tab w:val="clear" w:pos="709"/>
          <w:tab w:val="left" w:pos="0" w:leader="none"/>
        </w:tabs>
        <w:spacing w:before="120" w:after="60"/>
        <w:ind w:left="357" w:hanging="357"/>
        <w:jc w:val="center"/>
        <w:rPr>
          <w:lang w:val="ru-RU"/>
        </w:rPr>
      </w:pPr>
      <w:bookmarkStart w:id="15" w:name="_Toc46743519"/>
      <w:bookmarkStart w:id="16" w:name="_Toc51339699"/>
      <w:bookmarkStart w:id="17" w:name="_Toc75446583"/>
      <w:bookmarkStart w:id="18" w:name="_Toc53393312"/>
      <w:r>
        <w:rPr>
          <w:lang w:val="ru-RU"/>
        </w:rPr>
        <w:t>Требования к документации по ценообразованию</w:t>
      </w:r>
      <w:bookmarkEnd w:id="18"/>
      <w:r>
        <w:rPr>
          <w:lang w:val="ru-RU"/>
        </w:rPr>
        <w:t xml:space="preserve"> на этапе закупки</w:t>
      </w:r>
      <w:bookmarkEnd w:id="17"/>
    </w:p>
    <w:p>
      <w:pPr>
        <w:pStyle w:val="Normal"/>
        <w:numPr>
          <w:ilvl w:val="1"/>
          <w:numId w:val="10"/>
        </w:numPr>
        <w:ind w:left="0" w:hanging="0"/>
        <w:jc w:val="both"/>
        <w:rPr>
          <w:rFonts w:eastAsia="Times New Roman" w:cs="Times New Roman"/>
          <w:i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9" w:name="_Hlk88325985"/>
      <w:r>
        <w:rPr>
          <w:rFonts w:eastAsia="Times New Roman" w:cs="Times New Roman"/>
          <w:i/>
          <w:szCs w:val="24"/>
          <w:lang w:eastAsia="ru-RU"/>
        </w:rPr>
        <w:t>(с учетом прилагаемой к ней инструкции по заполнению)</w:t>
      </w:r>
      <w:bookmarkEnd w:id="19"/>
      <w:r>
        <w:rPr>
          <w:rFonts w:eastAsia="Times New Roman" w:cs="Times New Roman"/>
          <w:i/>
          <w:szCs w:val="24"/>
          <w:lang w:eastAsia="ru-RU"/>
        </w:rPr>
        <w:t>, приведенной в Документации о закупке.</w:t>
      </w:r>
    </w:p>
    <w:p>
      <w:pPr>
        <w:pStyle w:val="Normal"/>
        <w:numPr>
          <w:ilvl w:val="1"/>
          <w:numId w:val="11"/>
        </w:numPr>
        <w:ind w:left="0" w:hanging="0"/>
        <w:jc w:val="both"/>
        <w:rPr>
          <w:rFonts w:eastAsia="Times New Roman" w:cs="Times New Roman"/>
          <w:i/>
          <w:i/>
          <w:szCs w:val="24"/>
          <w:lang w:eastAsia="ru-RU"/>
        </w:rPr>
      </w:pPr>
      <w:bookmarkStart w:id="20" w:name="_Hlk88327292"/>
      <w:r>
        <w:rPr>
          <w:rFonts w:eastAsia="Times New Roman" w:cs="Times New Roman"/>
          <w:i/>
          <w:szCs w:val="24"/>
          <w:lang w:eastAsia="ru-RU"/>
        </w:rPr>
        <w:t>Дополнительные документы по ценообразованию</w:t>
      </w:r>
      <w:bookmarkEnd w:id="20"/>
      <w:r>
        <w:rPr>
          <w:rFonts w:eastAsia="Times New Roman" w:cs="Times New Roman"/>
          <w:i/>
          <w:szCs w:val="24"/>
          <w:lang w:eastAsia="ru-RU"/>
        </w:rPr>
        <w:t xml:space="preserve"> в состав заявки не включаются.</w:t>
      </w:r>
      <w:bookmarkEnd w:id="15"/>
      <w:bookmarkEnd w:id="16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  <w:tab/>
        <w:t>Приложения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</w:rPr>
        <w:t>1. Приложение № 1: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</w:rPr>
        <w:t>- 027-014-1-ЭО3 «Рабочая документация. Гидроагрегат №</w:t>
      </w:r>
      <w:bookmarkStart w:id="21" w:name="_GoBack"/>
      <w:bookmarkEnd w:id="21"/>
      <w:r>
        <w:rPr>
          <w:sz w:val="24"/>
        </w:rPr>
        <w:t>7</w:t>
      </w:r>
      <w:r>
        <w:rPr>
          <w:sz w:val="24"/>
        </w:rPr>
        <w:t xml:space="preserve">. Дополнительная защита системы возбуждения» </w:t>
      </w:r>
    </w:p>
    <w:p>
      <w:pPr>
        <w:pStyle w:val="Normal"/>
        <w:spacing w:lineRule="auto" w:line="360"/>
        <w:jc w:val="both"/>
        <w:rPr>
          <w:color w:val="C9211E"/>
        </w:rPr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9992338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6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7016541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6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18907241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6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6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6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7"/>
    <w:lvlOverride w:ilvl="0">
      <w:startOverride w:val="3"/>
    </w:lvlOverride>
    <w:lvlOverride w:ilvl="1">
      <w:startOverride w:val="1"/>
    </w:lvlOverride>
  </w:num>
  <w:num w:numId="11">
    <w:abstractNumId w:val="7"/>
  </w:num>
</w:numbering>
</file>

<file path=word/settings.xml><?xml version="1.0" encoding="utf-8"?>
<w:settings xmlns:w="http://schemas.openxmlformats.org/wordprocessingml/2006/main">
  <w:zoom w:percent="104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Hyperlink" w:customStyle="1">
    <w:name w:val="Hyperlink"/>
    <w:rsid w:val="00cd6e45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5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6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3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Style18" w:customStyle="1">
    <w:name w:val="Текст Знак"/>
    <w:basedOn w:val="DefaultParagraphFont"/>
    <w:link w:val="PlainText"/>
    <w:uiPriority w:val="99"/>
    <w:qFormat/>
    <w:rsid w:val="00003389"/>
    <w:rPr>
      <w:rFonts w:ascii="Calibri" w:hAnsi="Calibri" w:eastAsia="Calibri" w:cs="Times New Roman"/>
      <w:szCs w:val="21"/>
      <w:lang w:val="x-none"/>
    </w:rPr>
  </w:style>
  <w:style w:type="character" w:styleId="Name" w:customStyle="1">
    <w:name w:val="name"/>
    <w:qFormat/>
    <w:rsid w:val="00003389"/>
    <w:rPr/>
  </w:style>
  <w:style w:type="character" w:styleId="Extended-textshort" w:customStyle="1">
    <w:name w:val="extended-text__short"/>
    <w:qFormat/>
    <w:rsid w:val="00003389"/>
    <w:rPr/>
  </w:style>
  <w:style w:type="character" w:styleId="FollowedHyperlink" w:customStyle="1">
    <w:name w:val="FollowedHyperlink"/>
    <w:rsid w:val="00003389"/>
    <w:rPr>
      <w:color w:val="800080"/>
      <w:u w:val="single"/>
    </w:rPr>
  </w:style>
  <w:style w:type="character" w:styleId="Productcode" w:customStyle="1">
    <w:name w:val="product_code"/>
    <w:qFormat/>
    <w:rsid w:val="00003389"/>
    <w:rPr/>
  </w:style>
  <w:style w:type="character" w:styleId="Add-data-value" w:customStyle="1">
    <w:name w:val="add-data-value"/>
    <w:basedOn w:val="DefaultParagraphFont"/>
    <w:qFormat/>
    <w:rsid w:val="00003389"/>
    <w:rPr/>
  </w:style>
  <w:style w:type="character" w:styleId="Extendedtext-short" w:customStyle="1">
    <w:name w:val="extendedtext-short"/>
    <w:qFormat/>
    <w:rsid w:val="00003389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">
    <w:name w:val="index heading1"/>
    <w:basedOn w:val="Title"/>
    <w:qFormat/>
    <w:pPr/>
    <w:rPr/>
  </w:style>
  <w:style w:type="paragraph" w:styleId="Style21" w:customStyle="1">
    <w:name w:val="Раздел положения"/>
    <w:basedOn w:val="Normal"/>
    <w:autoRedefine/>
    <w:qFormat/>
    <w:rsid w:val="00734d42"/>
    <w:pPr>
      <w:numPr>
        <w:ilvl w:val="0"/>
        <w:numId w:val="3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2" w:customStyle="1">
    <w:name w:val="Подраздел раздела положения"/>
    <w:basedOn w:val="Normal"/>
    <w:autoRedefine/>
    <w:qFormat/>
    <w:rsid w:val="00734d42"/>
    <w:pPr>
      <w:numPr>
        <w:ilvl w:val="1"/>
        <w:numId w:val="3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3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4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6" w:customStyle="1">
    <w:name w:val="Подпункт"/>
    <w:basedOn w:val="Normal"/>
    <w:link w:val="11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7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8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9" w:customStyle="1">
    <w:name w:val="Знак Знак Знак Знак Знак Знак Знак Знак Знак"/>
    <w:basedOn w:val="Normal"/>
    <w:qFormat/>
    <w:rsid w:val="004900e5"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30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4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4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4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1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2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3" w:customStyle="1">
    <w:name w:val="Подподпункт"/>
    <w:basedOn w:val="Style26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cd6e45"/>
    <w:pPr>
      <w:numPr>
        <w:ilvl w:val="3"/>
        <w:numId w:val="5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5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5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5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cd6e45"/>
    <w:pPr>
      <w:keepNext w:val="true"/>
      <w:numPr>
        <w:ilvl w:val="5"/>
        <w:numId w:val="5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6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7" w:customStyle="1">
    <w:name w:val="Знак Знак Знак Знак"/>
    <w:basedOn w:val="Normal"/>
    <w:qFormat/>
    <w:rsid w:val="004900e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8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9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0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 w:customStyle="1">
    <w:name w:val="Обычный2"/>
    <w:qFormat/>
    <w:rsid w:val="00003389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uiPriority w:val="99"/>
    <w:unhideWhenUsed/>
    <w:qFormat/>
    <w:rsid w:val="00003389"/>
    <w:pPr/>
    <w:rPr>
      <w:rFonts w:ascii="Calibri" w:hAnsi="Calibri" w:eastAsia="Calibri" w:cs="Times New Roman"/>
      <w:sz w:val="22"/>
      <w:szCs w:val="21"/>
      <w:lang w:val="x-none"/>
    </w:rPr>
  </w:style>
  <w:style w:type="paragraph" w:styleId="Txt1" w:customStyle="1">
    <w:name w:val="txt1"/>
    <w:basedOn w:val="Normal"/>
    <w:qFormat/>
    <w:rsid w:val="00003389"/>
    <w:pPr/>
    <w:rPr>
      <w:rFonts w:ascii="Calibri" w:hAnsi="Calibri" w:eastAsia="Times New Roman" w:cs="Times New Roman"/>
      <w:szCs w:val="24"/>
      <w:lang w:eastAsia="ru-RU"/>
    </w:rPr>
  </w:style>
  <w:style w:type="paragraph" w:styleId="Formattext" w:customStyle="1">
    <w:name w:val="formattext"/>
    <w:basedOn w:val="Normal"/>
    <w:qFormat/>
    <w:rsid w:val="00003389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38" w:customStyle="1">
    <w:name w:val="Обычный3"/>
    <w:qFormat/>
    <w:rsid w:val="004900e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2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d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Application>AlterOffice/2025.3.0.0$Linux_X86_64 LibreOffice_project/4ba31b6a4271509a884f95065d0a726e9cb2bdbb</Application>
  <AppVersion>15.0000</AppVersion>
  <Pages>6</Pages>
  <Words>681</Words>
  <Characters>4871</Characters>
  <CharactersWithSpaces>5450</CharactersWithSpaces>
  <Paragraphs>119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2023-05-24T06:11:00Z</dcterms:created>
  <dc:creator>Кочетов Сергей Владимирович</dc:creator>
  <dc:description/>
  <dc:language>ru-RU</dc:language>
  <cp:lastModifiedBy>obukhovana@corp.gidroogk.com</cp:lastModifiedBy>
  <cp:lastPrinted>2025-08-28T09:13:45Z</cp:lastPrinted>
  <dcterms:modified xsi:type="dcterms:W3CDTF">2026-06-10T16:06:11Z</dcterms:modified>
  <cp:revision>211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