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«У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45.20.11.000 Оказание услуг по техническому обслуживанию и ремонту грузовых автомобилей и спецтехники Карачаево-Черкесского транспортного участка Южного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6018-ТО ПРОД-2027-ТК_Южный_фил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9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9"/>
              <w:vanish w:val="false"/>
              <w:color w:val="auto"/>
            </w:rPr>
            <w:fldChar w:fldCharType="separate"/>
          </w:r>
          <w:hyperlink w:anchor="_Toc14387865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_Toc143878658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5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_Toc143878659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6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1.3. 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r>
            <w:rPr>
              <w:vanish w:val="false"/>
              <w:color w:val="auto"/>
            </w:rPr>
            <w:t xml:space="preserve">        </w:t>
          </w:r>
          <w:r>
            <w:rPr>
              <w:b w:val="false"/>
              <w:bCs w:val="false"/>
              <w:vanish w:val="false"/>
              <w:color w:val="auto"/>
              <w:sz w:val="24"/>
              <w:szCs w:val="24"/>
            </w:rPr>
            <w:t>1.4. Существующее положение                                                                                                    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6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6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2.1. 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87866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2.1.1.Требования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67">
            <w:r>
              <w:rPr>
                <w:webHidden/>
                <w:rStyle w:val="Style19"/>
                <w:vanish w:val="false"/>
                <w:color w:val="auto"/>
              </w:rPr>
              <w:t xml:space="preserve">Таблица 2. </w:t>
            </w:r>
          </w:hyperlink>
          <w:hyperlink w:anchor="_Toc1438786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>Перечень и объем оказываемых услуг</w:t>
            </w:r>
            <w:r>
              <w:rPr>
                <w:webHidden/>
              </w:rPr>
              <w:fldChar w:fldCharType="end"/>
            </w:r>
          </w:hyperlink>
          <w:hyperlink w:anchor="_Toc14387866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_Toc143878667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9"/>
                <w:vanish w:val="false"/>
                <w:color w:val="auto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878668">
            <w:r>
              <w:rPr>
                <w:webHidden/>
                <w:rStyle w:val="Style19"/>
                <w:vanish w:val="false"/>
                <w:color w:val="auto"/>
              </w:rPr>
              <w:t>2.1.2. Требования к срокам оказания услуг</w:t>
              <w:tab/>
              <w:t>1</w:t>
            </w:r>
          </w:hyperlink>
          <w:r>
            <w:rPr>
              <w:rFonts w:eastAsia="新細明體" w:cs="Arial" w:ascii="Calibri" w:hAnsi="Calibri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69">
            <w:r>
              <w:rPr>
                <w:webHidden/>
                <w:rStyle w:val="Style19"/>
                <w:vanish w:val="false"/>
                <w:color w:val="auto"/>
              </w:rPr>
              <w:t>Таблица 3. Требования к срокам оказания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/>
              <w:bCs/>
              <w:vanish w:val="false"/>
              <w:color w:val="auto"/>
              <w:sz w:val="22"/>
              <w:szCs w:val="22"/>
            </w:rPr>
            <w:t>13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878670">
            <w:r>
              <w:rPr>
                <w:webHidden/>
                <w:rStyle w:val="Style19"/>
                <w:vanish w:val="false"/>
                <w:color w:val="auto"/>
              </w:rPr>
              <w:t>2.2.2. Требования к качеству услуг</w:t>
              <w:tab/>
              <w:t>1</w:t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iCs w:val="false"/>
              <w:vanish w:val="false"/>
              <w:color w:val="auto"/>
              <w:sz w:val="22"/>
              <w:szCs w:val="22"/>
            </w:rPr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71">
            <w:r>
              <w:rPr>
                <w:webHidden/>
                <w:rStyle w:val="Style19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auto"/>
                <w:kern w:val="2"/>
                <w:lang w:eastAsia="x-none"/>
              </w:rPr>
              <w:t>4</w:t>
            </w:r>
            <w:r>
              <w:rPr>
                <w:rStyle w:val="Style19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9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rStyle w:val="Style19"/>
                <w:color w:val="auto"/>
              </w:rPr>
              <w:tab/>
              <w:t>1</w:t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878672">
            <w:r>
              <w:rPr>
                <w:webHidden/>
                <w:rStyle w:val="Style19"/>
                <w:vanish w:val="false"/>
                <w:color w:val="auto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4</w:t>
          </w:r>
          <w:r>
            <w:rPr>
              <w:sz w:val="22"/>
              <w:b w:val="false"/>
              <w:szCs w:val="22"/>
              <w:bCs w:val="false"/>
              <w:vanish w:val="false"/>
              <w:rFonts w:eastAsia="新細明體" w:cs="Arial" w:ascii="Calibri" w:hAnsi="Calibri"/>
              <w:color w:val="auto"/>
            </w:rPr>
            <w:fldChar w:fldCharType="end"/>
          </w:r>
        </w:p>
      </w:sdtContent>
    </w:sdt>
    <w:p>
      <w:pPr>
        <w:pStyle w:val="TOC4"/>
        <w:rPr>
          <w:rFonts w:ascii="Calibri" w:hAnsi="Calibri" w:eastAsia="新細明體" w:cs="Arial" w:asciiTheme="minorHAnsi" w:cstheme="minorBidi" w:eastAsiaTheme="minorEastAsia" w:hAnsiTheme="minorHAnsi"/>
          <w:iCs w:val="false"/>
          <w:color w:val="auto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iCs w:val="false"/>
          <w:color w:val="auto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43878658"/>
      <w:r>
        <w:rPr/>
        <w:t>1. Общие сведения</w:t>
      </w:r>
      <w:bookmarkEnd w:id="0"/>
    </w:p>
    <w:p>
      <w:pPr>
        <w:pStyle w:val="Heading4"/>
        <w:numPr>
          <w:ilvl w:val="0"/>
        </w:numPr>
        <w:tabs>
          <w:tab w:val="clear" w:pos="0"/>
        </w:tabs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1" w:name="_Toc143878659"/>
      <w:bookmarkStart w:id="2" w:name="_Toc46743505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</w:numPr>
        <w:tabs>
          <w:tab w:val="clear" w:pos="0"/>
        </w:tabs>
        <w:ind w:left="1224" w:hanging="1224"/>
        <w:rPr/>
      </w:pPr>
      <w:bookmarkStart w:id="3" w:name="_Toc143878660"/>
      <w:r>
        <w:rPr/>
        <w:t>1.2. 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</w:rPr>
        <w:t>ОКПД2 45.20.11.000. Оказание услуг по техническому обслуживанию и ремонту грузовых автомобилей и спецтехники Карачаево-Черкесского транспортного участка Южного филиала АО «ТК РусГидро».</w:t>
      </w:r>
    </w:p>
    <w:p>
      <w:pPr>
        <w:pStyle w:val="Heading4"/>
        <w:numPr>
          <w:ilvl w:val="0"/>
        </w:numPr>
        <w:tabs>
          <w:tab w:val="clear" w:pos="0"/>
        </w:tabs>
        <w:ind w:left="431" w:hanging="431"/>
        <w:rPr/>
      </w:pPr>
      <w:bookmarkStart w:id="4" w:name="_Toc143878661"/>
      <w:bookmarkStart w:id="5" w:name="_Toc46743507"/>
      <w:r>
        <w:rPr/>
        <w:t xml:space="preserve">1.3. Цель </w:t>
      </w:r>
      <w:bookmarkEnd w:id="5"/>
      <w:r>
        <w:rPr/>
        <w:t>оказания услуг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>
      <w:pPr>
        <w:pStyle w:val="Heading4"/>
        <w:numPr>
          <w:ilvl w:val="0"/>
        </w:numPr>
        <w:tabs>
          <w:tab w:val="clear" w:pos="0"/>
        </w:tabs>
        <w:ind w:left="431" w:hanging="431"/>
        <w:rPr/>
      </w:pPr>
      <w:r>
        <w:rPr>
          <w:bCs w:val="false"/>
        </w:rPr>
        <w:t>1.4. Существующее положение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6" w:name="_Toc143878662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715"/>
        <w:gridCol w:w="2388"/>
        <w:gridCol w:w="2680"/>
        <w:gridCol w:w="1573"/>
      </w:tblGrid>
      <w:tr>
        <w:trPr>
          <w:trHeight w:val="136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  <w:br/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7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2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ОКПД2 45.20.11.000. Оказание услуг по техническому обслуживанию </w:t>
            </w:r>
            <w:r>
              <w:rPr>
                <w:iCs/>
                <w:sz w:val="22"/>
                <w:szCs w:val="22"/>
              </w:rPr>
              <w:t>и ремонту грузовых автомобилей и спецтехники Карачаево-Черкесского транспортного участка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Пгт. Правокубанский Карачаевского района Карачаево-Черкесской Республики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НЕФАЗ 5299-0000017-42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B 604 BC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2017 г.в.</w:t>
            </w:r>
          </w:p>
        </w:tc>
      </w:tr>
      <w:tr>
        <w:trPr>
          <w:trHeight w:val="314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ПАЗ-32053   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 533 УТ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2015 г.в. </w:t>
            </w:r>
          </w:p>
        </w:tc>
      </w:tr>
      <w:tr>
        <w:trPr>
          <w:trHeight w:val="112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Автогидроподъемник ТА-18 (шасси ГАЗ - 33081)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 896 ТК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2013 г.в.</w:t>
            </w:r>
          </w:p>
        </w:tc>
      </w:tr>
      <w:tr>
        <w:trPr>
          <w:trHeight w:val="112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Галичанин КС-55721-1В КС (шасси Камаз 6540)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2024 г.в.</w:t>
            </w:r>
          </w:p>
        </w:tc>
      </w:tr>
      <w:tr>
        <w:trPr>
          <w:trHeight w:val="24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43118 с КМУ 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 356 ЕО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2020 г.в.</w:t>
            </w:r>
          </w:p>
        </w:tc>
      </w:tr>
      <w:tr>
        <w:trPr>
          <w:trHeight w:val="515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SHACMAN</w:t>
            </w:r>
            <w:r>
              <w:rPr>
                <w:sz w:val="18"/>
                <w:szCs w:val="18"/>
              </w:rPr>
              <w:t xml:space="preserve"> SX32586Т384С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К 773 ВЕ 790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2020 г.в.</w:t>
            </w:r>
          </w:p>
        </w:tc>
      </w:tr>
      <w:tr>
        <w:trPr>
          <w:trHeight w:val="59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ЭО-2621   (МТЗ 82)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2486 СМ 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2013 г.в.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bookmarkStart w:id="7" w:name="_Toc143878663"/>
      <w:r>
        <w:rPr/>
        <w:t xml:space="preserve">1.5. 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7"/>
    </w:p>
    <w:p>
      <w:pPr>
        <w:pStyle w:val="ListParagraph"/>
        <w:ind w:left="0" w:hanging="0"/>
        <w:jc w:val="both"/>
        <w:rPr/>
      </w:pPr>
      <w:r>
        <w:rPr/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ListParagraph"/>
        <w:ind w:left="900" w:hanging="0"/>
        <w:jc w:val="both"/>
        <w:rPr/>
      </w:pPr>
      <w:r>
        <w:rPr/>
        <w:t>- ремонт подвески и ходовой части ТС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ремонт агрегатов ТС и их замена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электромонтажные работы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кузовные и малярные работы (при необходимости);</w:t>
      </w:r>
    </w:p>
    <w:p>
      <w:pPr>
        <w:pStyle w:val="Normal"/>
        <w:ind w:left="4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- замена стекол (при необходимости).</w:t>
      </w:r>
    </w:p>
    <w:p>
      <w:pPr>
        <w:pStyle w:val="ListParagraph"/>
        <w:ind w:left="0" w:hanging="0"/>
        <w:jc w:val="both"/>
        <w:rPr/>
      </w:pPr>
      <w:r>
        <w:rPr/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1.5.8. Местом оказания услуг является организация, находящаяся не далее 50 км. от расположения объекта.</w:t>
      </w:r>
    </w:p>
    <w:p>
      <w:pPr>
        <w:pStyle w:val="Heading1"/>
        <w:numPr>
          <w:ilvl w:val="0"/>
          <w:numId w:val="0"/>
        </w:numPr>
        <w:ind w:left="357" w:hanging="357"/>
        <w:jc w:val="center"/>
        <w:rPr>
          <w:caps/>
        </w:rPr>
      </w:pPr>
      <w:bookmarkStart w:id="9" w:name="_Toc143878664"/>
      <w:r>
        <w:rPr/>
        <w:t>2. Требования к продукции</w:t>
      </w:r>
      <w:bookmarkEnd w:id="9"/>
    </w:p>
    <w:p>
      <w:pPr>
        <w:pStyle w:val="Heading4"/>
        <w:numPr>
          <w:ilvl w:val="0"/>
        </w:numPr>
        <w:tabs>
          <w:tab w:val="clear" w:pos="0"/>
        </w:tabs>
        <w:ind w:left="1224" w:hanging="1224"/>
        <w:rPr/>
      </w:pPr>
      <w:bookmarkStart w:id="10" w:name="_Toc143878665"/>
      <w:r>
        <w:rPr/>
        <w:t>2.1. Требования к объемам и срокам оказания услуг</w:t>
      </w:r>
      <w:bookmarkEnd w:id="10"/>
    </w:p>
    <w:p>
      <w:pPr>
        <w:pStyle w:val="Heading3"/>
        <w:numPr>
          <w:ilvl w:val="0"/>
          <w:numId w:val="0"/>
        </w:numPr>
        <w:ind w:left="0" w:hanging="0"/>
        <w:rPr/>
      </w:pPr>
      <w:bookmarkStart w:id="11" w:name="_Toc143878668"/>
      <w:r>
        <w:rPr/>
        <w:t>2.1.1. Требования к перечню и объему услуг</w:t>
      </w:r>
      <w:bookmarkEnd w:id="11"/>
    </w:p>
    <w:p>
      <w:pPr>
        <w:pStyle w:val="Heading1"/>
        <w:numPr>
          <w:ilvl w:val="0"/>
          <w:numId w:val="0"/>
        </w:numPr>
        <w:ind w:left="0" w:hanging="0"/>
        <w:rPr>
          <w:sz w:val="22"/>
          <w:szCs w:val="22"/>
        </w:rPr>
      </w:pPr>
      <w:bookmarkStart w:id="12" w:name="_Toc143878669"/>
      <w:bookmarkStart w:id="13" w:name="_Toc51339695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2"/>
    </w:p>
    <w:tbl>
      <w:tblPr>
        <w:tblW w:w="991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2"/>
        <w:gridCol w:w="6078"/>
        <w:gridCol w:w="1398"/>
        <w:gridCol w:w="1548"/>
      </w:tblGrid>
      <w:tr>
        <w:trPr>
          <w:trHeight w:val="813" w:hRule="atLeast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НЕФАЗ 5299 В 604 ВС 09</w:t>
              <w:br/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НЕФАЗ 5299 В 604 ВС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ПАЗ-32053 А 533 УТ 09</w:t>
              <w:br/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ПАЗ-32053 А 533 УТ 09</w:t>
              <w:br/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АГП ТА-18 (ГАЗ-33081) А 896 ТК 09</w:t>
              <w:br/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АГП ТА-18 (ГАЗ-33081) А 896 ТК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КАМАЗ 43118 с КМУ К356 ЕО 126</w:t>
              <w:br/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КАМАЗ 43118 с КМУ К356 ЕО 126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SHACMAN</w:t>
            </w:r>
            <w:r>
              <w:rPr>
                <w:sz w:val="18"/>
                <w:szCs w:val="18"/>
              </w:rPr>
              <w:t xml:space="preserve"> SX32586Т384С  </w:t>
            </w:r>
            <w:r>
              <w:rPr>
                <w:sz w:val="20"/>
                <w:szCs w:val="20"/>
              </w:rPr>
              <w:t>К 773 ВЕ 790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SHACMAN</w:t>
            </w:r>
            <w:r>
              <w:rPr>
                <w:sz w:val="18"/>
                <w:szCs w:val="18"/>
              </w:rPr>
              <w:t xml:space="preserve"> SX32586Т384С  </w:t>
            </w:r>
            <w:r>
              <w:rPr>
                <w:sz w:val="20"/>
                <w:szCs w:val="20"/>
              </w:rPr>
              <w:t>К 773 ВЕ 790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Галичанин КС-55721-1В КС (шасси Камаз 6540)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Галичанин КС-55721-1В КС (шасси Камаз 6540)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ЭО-2621 (МТЗ 82)</w:t>
              <w:br/>
              <w:t>Техническое обслуживание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65" w:hRule="atLeast"/>
        </w:trPr>
        <w:tc>
          <w:tcPr>
            <w:tcW w:w="8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ЭО-2621 (МТЗ 82)</w:t>
              <w:br/>
              <w:t xml:space="preserve">Текущий ремонт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2.1.1.1. Автомобилей марки </w:t>
      </w:r>
      <w:r>
        <w:rPr>
          <w:b/>
          <w:sz w:val="24"/>
          <w:szCs w:val="24"/>
          <w:lang w:val="en-US"/>
        </w:rPr>
        <w:t>ГАЗ 33081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6"/>
        <w:gridCol w:w="4133"/>
        <w:gridCol w:w="1022"/>
        <w:gridCol w:w="901"/>
        <w:gridCol w:w="892"/>
        <w:gridCol w:w="835"/>
        <w:gridCol w:w="809"/>
        <w:gridCol w:w="86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-10000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-20000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-30000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-40000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-50000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 -60000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Моторное масло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Воздушный фильтр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Проверить и при необходимости заменить клапан PCV принудительной вентиляции картера двигателя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П/З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Свечи зажигания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Электрические провода системы зажигания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Ремни привода навесных агрегатов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Масляный фильтр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Топливный фильтр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Привод газораспределительного механизма</w:t>
            </w:r>
          </w:p>
        </w:tc>
        <w:tc>
          <w:tcPr>
            <w:tcW w:w="53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каждые 75 000 км</w:t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Заменить охлаждающую жидкость</w:t>
            </w:r>
          </w:p>
        </w:tc>
        <w:tc>
          <w:tcPr>
            <w:tcW w:w="53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три года или через каждые 90 000 км</w:t>
            </w:r>
          </w:p>
        </w:tc>
      </w:tr>
      <w:tr>
        <w:trPr>
          <w:trHeight w:val="563" w:hRule="atLeast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Заменить тормозную жидкость в гидроприводе тормозов</w:t>
            </w:r>
          </w:p>
        </w:tc>
        <w:tc>
          <w:tcPr>
            <w:tcW w:w="53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два года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элементов системы выпуска отработавших газов двигателя.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тормозных колодок, суппортов и шлангов тормозной системы.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шарниров равных угловых скоростей и элементов передней и задней подвески.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рабочей жидкости автоматической трансмиссии.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тормозной жидкости в бачке главного тормозного цилиндра.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рабочей жидкости механической трансмиссии.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охлаждающей жидкости, состояние шлангов и хомутов системы охлаждения двигателя.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износа колодок передних и задних тормозных механизмов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давления воздуха в шинах (включая запасное колесо), осмотр шин на предмет износа и повреждений.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(регулировка) стояночного тормоза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2.1.1.2. Самоходных машин марки </w:t>
      </w:r>
      <w:r>
        <w:rPr>
          <w:b/>
          <w:color w:val="000000" w:themeColor="text1"/>
          <w:sz w:val="24"/>
          <w:szCs w:val="24"/>
        </w:rPr>
        <w:t>ЭО-2621 (МТЗ 82)</w:t>
      </w:r>
    </w:p>
    <w:tbl>
      <w:tblPr>
        <w:tblW w:w="9725" w:type="dxa"/>
        <w:jc w:val="left"/>
        <w:tblInd w:w="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600"/>
        <w:gridCol w:w="7569"/>
        <w:gridCol w:w="1556"/>
      </w:tblGrid>
      <w:tr>
        <w:trPr>
          <w:trHeight w:val="349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6"/>
                <w:szCs w:val="16"/>
              </w:rPr>
              <w:t xml:space="preserve">№ </w:t>
            </w:r>
            <w:r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GB"/>
              </w:rPr>
              <w:t>Наименование работ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ТО </w:t>
            </w:r>
            <w:r>
              <w:rPr>
                <w:bCs/>
                <w:sz w:val="20"/>
                <w:szCs w:val="20"/>
              </w:rPr>
              <w:t>500 м/ч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Очистка от грязи и пыли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162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Визуальная проверка наличия течи горюче-смазочных материалов.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156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Устранение подтекания, при необходимости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189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Проверка количества масла в картере, доливка до требуемого параметра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Проверка работоспособности освещения, сигнализации, рулевого управления, стеклоочистителей, блокиратора запуска мотора, натяжения ременного привода и давления в шинах.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Контроль состояния основной масляной магистрали, герметичности соединений и воздухоочистителей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7.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Контроль оборотистости роторной части центробежного масляного фильтра после остановки силового агрегата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239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11.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Очистка и проверка клемм АБ, окончаний проводки, наличия дистиллированной воды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12.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Ликвидация осадка из фильтров грубой очистки, конденсата из тормозных блоков и воздушных резервуаров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197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13.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Смазка всех частей, требующих данной процедуре согласно специальной смазочной карте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>
        <w:trPr>
          <w:trHeight w:val="278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14.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Контроль плотности электролита, зарядка аккумуляторов, при необходимости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15.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Слив осадка из фильтрующих элементов грубой очистки, а также остатков из тормозных отсеков заднего моста и воздушных баллонов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16.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Смазывание клемм и проводных наконечников, включая обработку частей техники в соответствии с картой смазки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17.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Проверка состояния узлов и агрегатов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18.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Проверка износа шин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Контроль размеров и положений ведущих звезд и техсостояние кривошипно-шатунных приспособлений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Очистка отверстий в пробках баков центрального и резервного пускового приспособления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фильтры на очистном топливном патрубке.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7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Фильтр масляный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7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7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Фильтр топливный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- проверка; З - Замена; С - 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b/>
        </w:rPr>
      </w:pPr>
      <w:r>
        <w:rPr>
          <w:b/>
          <w:sz w:val="24"/>
          <w:szCs w:val="24"/>
        </w:rPr>
        <w:t xml:space="preserve">2.1.1.3. Автомобилей марки </w:t>
      </w:r>
      <w:r>
        <w:rPr>
          <w:b/>
        </w:rPr>
        <w:t>ПАЗ 3205</w:t>
      </w:r>
    </w:p>
    <w:tbl>
      <w:tblPr>
        <w:tblW w:w="10489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563"/>
        <w:gridCol w:w="5237"/>
        <w:gridCol w:w="963"/>
        <w:gridCol w:w="964"/>
        <w:gridCol w:w="902"/>
        <w:gridCol w:w="909"/>
        <w:gridCol w:w="950"/>
      </w:tblGrid>
      <w:tr>
        <w:trPr>
          <w:trHeight w:val="396" w:hRule="atLeast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№ </w:t>
            </w:r>
            <w:r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Наименование работ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>ТО -</w:t>
            </w:r>
            <w:r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  <w:lang w:val="en-GB"/>
              </w:rPr>
              <w:t>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>ТО -</w:t>
            </w:r>
            <w:r>
              <w:rPr>
                <w:bCs/>
                <w:sz w:val="16"/>
                <w:szCs w:val="16"/>
              </w:rPr>
              <w:t>20000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ТО -</w:t>
            </w:r>
            <w:r>
              <w:rPr>
                <w:bCs/>
                <w:sz w:val="16"/>
                <w:szCs w:val="16"/>
              </w:rPr>
              <w:t>30000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ТО -</w:t>
            </w:r>
            <w:r>
              <w:rPr>
                <w:bCs/>
                <w:sz w:val="16"/>
                <w:szCs w:val="16"/>
              </w:rPr>
              <w:t>40000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ТО -</w:t>
            </w:r>
            <w:r>
              <w:rPr>
                <w:bCs/>
                <w:sz w:val="16"/>
                <w:szCs w:val="16"/>
              </w:rPr>
              <w:t>50000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42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Проверить герметичность системы питания двигателя воздухом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33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</w:r>
          </w:p>
        </w:tc>
      </w:tr>
      <w:tr>
        <w:trPr>
          <w:trHeight w:val="58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14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9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38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2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>
          <w:trHeight w:val="5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масляный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 топливный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- проверка; З 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150 т.  проводить обслуживание автомобиля в соответствии с графиком технического обслуживания, начиная с 10 тыс.  или по временному интервалу. </w:t>
      </w:r>
      <w:bookmarkStart w:id="14" w:name="_Toc75446579"/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ind w:left="-426" w:hanging="0"/>
        <w:rPr>
          <w:b/>
        </w:rPr>
      </w:pPr>
      <w:r>
        <w:rPr>
          <w:rFonts w:eastAsia="Calibri"/>
          <w:b/>
          <w:sz w:val="24"/>
          <w:szCs w:val="24"/>
        </w:rPr>
        <w:t xml:space="preserve"> </w:t>
      </w:r>
      <w:bookmarkStart w:id="15" w:name="_Toc50125131"/>
      <w:bookmarkEnd w:id="14"/>
      <w:r>
        <w:rPr>
          <w:rFonts w:eastAsia="Calibri"/>
          <w:b/>
          <w:sz w:val="24"/>
          <w:szCs w:val="24"/>
        </w:rPr>
        <w:t xml:space="preserve">2.1.1.4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Нефаз 5299</w:t>
      </w:r>
    </w:p>
    <w:tbl>
      <w:tblPr>
        <w:tblW w:w="10566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51"/>
        <w:gridCol w:w="4507"/>
        <w:gridCol w:w="1125"/>
        <w:gridCol w:w="1296"/>
        <w:gridCol w:w="983"/>
        <w:gridCol w:w="1134"/>
        <w:gridCol w:w="1069"/>
      </w:tblGrid>
      <w:tr>
        <w:trPr>
          <w:trHeight w:val="396" w:hRule="atLeas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-10000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-20000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-30000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-40000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-50000</w:t>
            </w:r>
          </w:p>
        </w:tc>
      </w:tr>
      <w:tr>
        <w:trPr>
          <w:trHeight w:val="17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225"/>
              <w:ind w:right="-162" w:hanging="0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17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>
                <w:sz w:val="20"/>
                <w:szCs w:val="20"/>
              </w:rPr>
              <w:t>Проверить герметичность системы питания двигателя воздухом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2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673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Крепление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612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>
        <w:trPr>
          <w:trHeight w:val="588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коробки передач и ее внешних деталей.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84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66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49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29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26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2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268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46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268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279" w:hRule="atLeast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ind w:left="-426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left="-426" w:hanging="0"/>
        <w:rPr>
          <w:b/>
        </w:rPr>
      </w:pPr>
      <w:r>
        <w:rPr>
          <w:rFonts w:eastAsia="Calibri"/>
          <w:b/>
          <w:sz w:val="24"/>
          <w:szCs w:val="24"/>
        </w:rPr>
        <w:t xml:space="preserve">  </w:t>
      </w:r>
    </w:p>
    <w:p>
      <w:pPr>
        <w:pStyle w:val="Normal"/>
        <w:ind w:left="-426" w:hanging="0"/>
        <w:rPr>
          <w:b/>
        </w:rPr>
      </w:pP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t xml:space="preserve">2.1.1.5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КАМАЗ</w:t>
      </w:r>
    </w:p>
    <w:tbl>
      <w:tblPr>
        <w:tblW w:w="10488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19"/>
        <w:gridCol w:w="4827"/>
        <w:gridCol w:w="1040"/>
        <w:gridCol w:w="1090"/>
        <w:gridCol w:w="1012"/>
        <w:gridCol w:w="1077"/>
        <w:gridCol w:w="1022"/>
      </w:tblGrid>
      <w:tr>
        <w:trPr>
          <w:trHeight w:val="3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-10000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-20000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-30000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-40000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-50000</w:t>
            </w:r>
          </w:p>
        </w:tc>
      </w:tr>
      <w:tr>
        <w:trPr>
          <w:trHeight w:val="554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ind w:right="-16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78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Проверить герметичность системы питания двигателя воздухом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>
        <w:trPr>
          <w:trHeight w:val="442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641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381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18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97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14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люфт рулевого колеса и шарниров рулевых тяг.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26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20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widowControl/>
        <w:suppressAutoHyphens w:val="true"/>
        <w:bidi w:val="0"/>
        <w:spacing w:before="0" w:after="0"/>
        <w:ind w:left="-283" w:right="0" w:hanging="0"/>
        <w:jc w:val="lef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2.1.1.6 Автомобилей </w:t>
      </w:r>
      <w:r>
        <w:rPr>
          <w:rFonts w:eastAsia="Calibri"/>
          <w:b/>
          <w:sz w:val="24"/>
          <w:szCs w:val="24"/>
          <w:lang w:eastAsia="en-US"/>
        </w:rPr>
        <w:t>марки SHACMAN SX32586T384C</w:t>
      </w:r>
    </w:p>
    <w:tbl>
      <w:tblPr>
        <w:tblW w:w="10225" w:type="dxa"/>
        <w:jc w:val="left"/>
        <w:tblInd w:w="-3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0"/>
        <w:gridCol w:w="5612"/>
        <w:gridCol w:w="912"/>
        <w:gridCol w:w="851"/>
        <w:gridCol w:w="737"/>
        <w:gridCol w:w="787"/>
        <w:gridCol w:w="825"/>
      </w:tblGrid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п-п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работ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-125000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-140000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-155000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-170000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-155000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 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питания двигателя топливом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питания двигателя воздухом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смазки двигателя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выпуска отработавших газов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охлаждения двигателя.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натяжение приводных ремней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коробки передач и ее внешних деталей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крышки распределительных шестерен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соединений заднего (среднего) моста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картера редуктора, фланцев полуосей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рулевого колеса и шарниров рулевых тяг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ход штоков тормозных камер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Системы гидропривода выключения сцепления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рамы, узлов и деталей подвески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Кабина, платформа (кузов) и оперение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состояние и крепление электропроводов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шарниры карданных валов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втулку ротора датчика распределителя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регулятор тормоза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Прочистить сапуны коробки передач и мостов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автомобиля после обслуживания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- проверка; З - Замена; С - смазка.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 пределами пробега 100 т. км проводить обслуживание автомобиля в соответствии с графиком технического обслуживания, начиная с 15 тыс. км или по временному интервалу. </w:t>
      </w:r>
    </w:p>
    <w:p>
      <w:pPr>
        <w:pStyle w:val="Normal"/>
        <w:ind w:left="-851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6" w:name="_Toc143878666"/>
      <w:r>
        <w:rPr/>
        <w:t xml:space="preserve">2.1.2. Требования к срокам оказания </w:t>
      </w:r>
      <w:bookmarkEnd w:id="16"/>
      <w:r>
        <w:rPr/>
        <w:t>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7" w:name="_Toc143878667"/>
      <w:r>
        <w:rPr>
          <w:sz w:val="24"/>
          <w:szCs w:val="24"/>
        </w:rPr>
        <w:t xml:space="preserve">Таблица 3. Требования к срокам оказания </w:t>
      </w:r>
      <w:bookmarkEnd w:id="17"/>
      <w:r>
        <w:rPr>
          <w:sz w:val="24"/>
          <w:szCs w:val="24"/>
        </w:rPr>
        <w:t>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2835"/>
        <w:gridCol w:w="2974"/>
        <w:gridCol w:w="283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Оказание у</w:t>
            </w:r>
            <w:r>
              <w:rPr>
                <w:iCs/>
                <w:sz w:val="20"/>
                <w:szCs w:val="20"/>
              </w:rPr>
              <w:t>слуг по техническому обслуживанию и ремонту грузовых автомобилей и спецтехники Карачаево-Черкесского транспортного участка Южного филиала АО "ТК РусГидро"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 г.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транспортного средства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транспортного средства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(пяти) календарных дней с момента подачи заявки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Электротехнические работы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 2 (двух) календарных дней с момента подачи заявки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работы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4"/>
        <w:numPr>
          <w:ilvl w:val="0"/>
        </w:numPr>
        <w:tabs>
          <w:tab w:val="clear" w:pos="0"/>
        </w:tabs>
        <w:ind w:left="1224" w:hanging="1224"/>
        <w:rPr/>
      </w:pPr>
      <w:bookmarkStart w:id="18" w:name="_Toc143878670"/>
      <w:bookmarkStart w:id="19" w:name="_Toc46743511"/>
      <w:bookmarkStart w:id="20" w:name="_Toc51339698"/>
      <w:bookmarkEnd w:id="20"/>
      <w:r>
        <w:rPr/>
        <w:t xml:space="preserve">2.2. Требования к </w:t>
      </w:r>
      <w:bookmarkEnd w:id="19"/>
      <w:r>
        <w:rPr/>
        <w:t xml:space="preserve">качеству </w:t>
      </w:r>
      <w:bookmarkEnd w:id="18"/>
      <w:r>
        <w:rPr/>
        <w:t>продукции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1" w:name="_Toc14387867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 xml:space="preserve">качеству </w:t>
      </w:r>
      <w:bookmarkEnd w:id="21"/>
      <w:r>
        <w:rPr>
          <w:b/>
          <w:bCs/>
          <w:kern w:val="2"/>
          <w:sz w:val="24"/>
          <w:szCs w:val="24"/>
          <w:lang w:eastAsia="x-none"/>
        </w:rPr>
        <w:t xml:space="preserve">продукции </w:t>
      </w:r>
    </w:p>
    <w:tbl>
      <w:tblPr>
        <w:tblW w:w="996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1"/>
        <w:gridCol w:w="1632"/>
        <w:gridCol w:w="34"/>
        <w:gridCol w:w="3188"/>
        <w:gridCol w:w="4395"/>
      </w:tblGrid>
      <w:tr>
        <w:trPr/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6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2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2"/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месту оказания услуг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оказываются в Специализированном сервисном центре Исполнителя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закупке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применяемым при оказании услуг</w:t>
            </w:r>
          </w:p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оборудованию и материалам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используемым запасным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частям и материалам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Запасные части, расходные материалы, при выполнении ТО и ТР, должны  </w:t>
            </w:r>
            <w:r>
              <w:rPr>
                <w:sz w:val="20"/>
                <w:szCs w:val="20"/>
              </w:rPr>
              <w:t xml:space="preserve">быть новыми, </w:t>
            </w:r>
            <w:r>
              <w:rPr>
                <w:sz w:val="20"/>
                <w:szCs w:val="20"/>
              </w:rPr>
              <w:t xml:space="preserve">соответствовать </w:t>
            </w:r>
            <w:r>
              <w:rPr>
                <w:sz w:val="20"/>
                <w:szCs w:val="20"/>
              </w:rPr>
              <w:t>действующим ГОСТам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ТУ, сертификатам качества, и другим документам, содержащим обязательные, либо обычно применяемые требования, предъявляемые к соответствующим товарам,</w:t>
            </w:r>
            <w:r>
              <w:rPr>
                <w:sz w:val="20"/>
                <w:szCs w:val="20"/>
              </w:rPr>
              <w:t xml:space="preserve">  иной нормативно-технической документации, подтверждающей качество продукции. </w:t>
            </w:r>
            <w:r>
              <w:rPr>
                <w:sz w:val="20"/>
                <w:szCs w:val="20"/>
              </w:rPr>
              <w:t>Запрещается использование контрофактных, поддельных восстановленных или бввших в употреблении деталей, не имеющих сертификатов соответствия,  без маркировки и в поврежденной упаковке.</w:t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моторным маслам</w:t>
            </w:r>
          </w:p>
        </w:tc>
        <w:tc>
          <w:tcPr>
            <w:tcW w:w="3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Моторные масла должны соответствовать спецификациям API/ACEA и вязкости по SAE, указанным в руководстве по эксплуатации автомобиля. Запрещается применение масел с более низкими эксплуатационными характеристиками.</w:t>
            </w:r>
          </w:p>
        </w:tc>
        <w:tc>
          <w:tcPr>
            <w:tcW w:w="43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538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согласно нормативно-технических требованиями заводов изготовителей, в соответствии с действующимим ГОСТами, регламентирующими данный вид деятельности.</w:t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3" w:name="_Toc143878672"/>
      <w:bookmarkStart w:id="24" w:name="_Toc53393312"/>
      <w:bookmarkStart w:id="25" w:name="_Toc53395937"/>
      <w:bookmarkStart w:id="26" w:name="_Toc51339698_Копия_1"/>
      <w:bookmarkEnd w:id="15"/>
      <w:bookmarkEnd w:id="26"/>
      <w:r>
        <w:rPr>
          <w:sz w:val="24"/>
          <w:szCs w:val="24"/>
        </w:rPr>
        <w:t>3.Требования к документации по ценообразованию</w:t>
      </w:r>
      <w:bookmarkEnd w:id="24"/>
      <w:bookmarkEnd w:id="25"/>
      <w:r>
        <w:rPr>
          <w:sz w:val="24"/>
          <w:szCs w:val="24"/>
        </w:rPr>
        <w:t xml:space="preserve"> на этапе закупки</w:t>
      </w:r>
      <w:bookmarkEnd w:id="23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p>
      <w:pPr>
        <w:pStyle w:val="Heading4"/>
        <w:numPr>
          <w:ilvl w:val="0"/>
          <w:numId w:val="0"/>
        </w:numPr>
        <w:ind w:left="0" w:right="0" w:hanging="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 Патычек Ю.А.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707" w:gutter="0" w:header="680" w:top="737" w:footer="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 w:customStyle="1">
    <w:name w:val="Раздел договора"/>
    <w:basedOn w:val="Normal"/>
    <w:next w:val="Style39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Style4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F972-CC77-42E8-B61A-CFA5F9F0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AlterOffice/3.4.0.9$Linux_X86_64 LibreOffice_project/b8daf9e823b1a5463a2f48435ddc2e8696e7d4fc</Application>
  <AppVersion>15.0000</AppVersion>
  <Pages>14</Pages>
  <Words>4491</Words>
  <Characters>24211</Characters>
  <CharactersWithSpaces>28610</CharactersWithSpaces>
  <Paragraphs>1726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2023-08-23T14:06:00Z</dcterms:created>
  <dc:creator>Быстров Олег Геннадьевич</dc:creator>
  <dc:description/>
  <dc:language>ru-RU</dc:language>
  <cp:lastModifiedBy>balanovskiivd@corp.gidroogk.com</cp:lastModifiedBy>
  <cp:lastPrinted>2023-08-11T08:37:00Z</cp:lastPrinted>
  <dcterms:modified xsi:type="dcterms:W3CDTF">2026-06-06T16:26:45Z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