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закупку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«ОКПД2 27.12.10.190 Поставка комплектных распределительных устройств для нужд филиала АО "ДРСК" "Хабаровские электрические сети" в рамках договора на осуществление технологического присоединения к электрическим сетям №7/25 от 14.04.2025 (АО «КРДВ»)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</w:r>
    </w:p>
    <w:p>
      <w:pPr>
        <w:pStyle w:val="Normal"/>
        <w:keepNext w:val="true"/>
        <w:keepLines/>
        <w:spacing w:before="0" w:after="24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1339692"/>
      <w:bookmarkStart w:id="1" w:name="_Toc75446566"/>
      <w:bookmarkEnd w:id="0"/>
      <w:bookmarkEnd w:id="1"/>
      <w:r>
        <w:rPr>
          <w:sz w:val="24"/>
          <w:szCs w:val="24"/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tbl>
      <w:tblPr>
        <w:tblW w:w="15227" w:type="dxa"/>
        <w:jc w:val="left"/>
        <w:tblInd w:w="-115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noVBand="1" w:val="04a0" w:noHBand="0" w:lastColumn="0" w:firstColumn="1" w:lastRow="0" w:firstRow="1"/>
      </w:tblPr>
      <w:tblGrid>
        <w:gridCol w:w="1746"/>
        <w:gridCol w:w="13480"/>
      </w:tblGrid>
      <w:tr>
        <w:trPr>
          <w:cantSplit w:val="true"/>
        </w:trPr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КРУ</w:t>
            </w:r>
            <w:r>
              <w:rPr>
                <w:b/>
                <w:bCs/>
                <w:i/>
                <w:iCs/>
                <w:sz w:val="24"/>
                <w:szCs w:val="24"/>
                <w:lang w:eastAsia="x-none"/>
              </w:rPr>
              <w:t>Н</w:t>
            </w:r>
          </w:p>
        </w:tc>
        <w:tc>
          <w:tcPr>
            <w:tcW w:w="1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bCs/>
                <w:iCs/>
                <w:sz w:val="24"/>
                <w:szCs w:val="24"/>
              </w:rPr>
              <w:t>Комплектное распределительное устройство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 наружной установки</w:t>
            </w:r>
          </w:p>
        </w:tc>
      </w:tr>
      <w:tr>
        <w:trPr>
          <w:cantSplit w:val="true"/>
        </w:trPr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1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2"/>
        </w:numPr>
        <w:rPr/>
      </w:pPr>
      <w:bookmarkStart w:id="2" w:name="_Toc46743506"/>
      <w:bookmarkStart w:id="3" w:name="_Toc75446568"/>
      <w:bookmarkEnd w:id="2"/>
      <w:bookmarkEnd w:id="3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both"/>
        <w:rPr>
          <w:color w:val="000000"/>
        </w:rPr>
      </w:pPr>
      <w:r>
        <w:rPr>
          <w:rFonts w:eastAsia="Calibri"/>
          <w:i/>
          <w:color w:val="000000"/>
          <w:sz w:val="24"/>
          <w:szCs w:val="24"/>
          <w:lang w:eastAsia="x-none"/>
        </w:rPr>
        <w:t>«</w:t>
      </w:r>
      <w:r>
        <w:rPr>
          <w:b/>
          <w:i/>
          <w:color w:val="000000"/>
          <w:sz w:val="24"/>
          <w:szCs w:val="24"/>
        </w:rPr>
        <w:t>Комплектные распределительные устройства для нужд филиала АО "ДРСК" "Хабаровские электрические сети"»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4" w:name="_Toc51339693"/>
      <w:bookmarkStart w:id="5" w:name="_Toc75446573"/>
      <w:bookmarkStart w:id="6" w:name="_Toc50125126"/>
      <w:bookmarkStart w:id="7" w:name="_Toc46743510"/>
      <w:bookmarkEnd w:id="4"/>
      <w:bookmarkEnd w:id="5"/>
      <w:bookmarkEnd w:id="6"/>
      <w:bookmarkEnd w:id="7"/>
      <w:r>
        <w:rPr>
          <w:iCs/>
          <w:sz w:val="24"/>
          <w:szCs w:val="24"/>
        </w:rPr>
        <w:t>Требования к продукции</w:t>
      </w:r>
    </w:p>
    <w:p>
      <w:pPr>
        <w:pStyle w:val="Heading4"/>
        <w:numPr>
          <w:ilvl w:val="1"/>
          <w:numId w:val="2"/>
        </w:numPr>
        <w:rPr/>
      </w:pPr>
      <w:bookmarkStart w:id="8" w:name="_Toc75446574"/>
      <w:r>
        <w:rPr/>
        <w:t xml:space="preserve">Требования к объемам и срокам </w:t>
      </w:r>
      <w:bookmarkEnd w:id="8"/>
      <w:r>
        <w:rPr>
          <w:lang w:val="ru-RU"/>
        </w:rPr>
        <w:t>поставки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bookmarkEnd w:id="10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15693" w:type="dxa"/>
        <w:jc w:val="left"/>
        <w:tblInd w:w="-99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noVBand="0" w:val="0000" w:noHBand="0" w:lastColumn="0" w:firstColumn="0" w:lastRow="0" w:firstRow="0"/>
      </w:tblPr>
      <w:tblGrid>
        <w:gridCol w:w="1024"/>
        <w:gridCol w:w="11425"/>
        <w:gridCol w:w="1825"/>
        <w:gridCol w:w="1418"/>
      </w:tblGrid>
      <w:tr>
        <w:trPr/>
        <w:tc>
          <w:tcPr>
            <w:tcW w:w="10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6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10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1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Комплектное распределительное устройство наружной установки 10 кВ серии КРН-10-КЕМ/kz-02 У1 согласно Приложения №1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pStyle w:val="FootnoteText"/>
        <w:jc w:val="both"/>
        <w:rPr>
          <w:color w:val="FF0000"/>
        </w:rPr>
      </w:pPr>
      <w:r>
        <w:rPr>
          <w:color w:val="FF0000"/>
        </w:rPr>
      </w:r>
    </w:p>
    <w:p>
      <w:pPr>
        <w:pStyle w:val="FootnoteText"/>
        <w:jc w:val="both"/>
        <w:rPr>
          <w:color w:val="FF0000"/>
        </w:rPr>
      </w:pPr>
      <w:r>
        <w:rPr>
          <w:color w:val="FF0000"/>
        </w:rPr>
      </w:r>
    </w:p>
    <w:p>
      <w:pPr>
        <w:pStyle w:val="FootnoteText"/>
        <w:jc w:val="both"/>
        <w:rPr>
          <w:color w:val="FF0000"/>
        </w:rPr>
      </w:pPr>
      <w:r>
        <w:rPr>
          <w:color w:val="FF0000"/>
        </w:rPr>
      </w:r>
    </w:p>
    <w:p>
      <w:pPr>
        <w:pStyle w:val="FootnoteText"/>
        <w:jc w:val="both"/>
        <w:rPr>
          <w:color w:val="FF0000"/>
        </w:rPr>
      </w:pPr>
      <w:r>
        <w:rPr>
          <w:color w:val="FF0000"/>
        </w:rPr>
      </w:r>
    </w:p>
    <w:p>
      <w:pPr>
        <w:pStyle w:val="FootnoteText"/>
        <w:jc w:val="both"/>
        <w:rPr>
          <w:color w:val="FF0000"/>
        </w:rPr>
      </w:pPr>
      <w:r>
        <w:rPr>
          <w:color w:val="FF0000"/>
        </w:rPr>
      </w:r>
    </w:p>
    <w:p>
      <w:pPr>
        <w:pStyle w:val="FootnoteText"/>
        <w:jc w:val="both"/>
        <w:rPr>
          <w:iCs/>
          <w:color w:val="FF0000"/>
        </w:rPr>
      </w:pPr>
      <w:r>
        <w:rPr>
          <w:iCs/>
          <w:color w:val="FF0000"/>
        </w:rPr>
      </w:r>
    </w:p>
    <w:p>
      <w:pPr>
        <w:pStyle w:val="FootnoteText"/>
        <w:jc w:val="both"/>
        <w:rPr>
          <w:iCs/>
          <w:color w:val="FF0000"/>
        </w:rPr>
      </w:pPr>
      <w:r>
        <w:rPr>
          <w:iCs/>
          <w:color w:val="FF0000"/>
        </w:rPr>
      </w:r>
    </w:p>
    <w:p>
      <w:pPr>
        <w:pStyle w:val="FootnoteText"/>
        <w:jc w:val="both"/>
        <w:rPr>
          <w:iCs/>
          <w:color w:val="FF0000"/>
        </w:rPr>
      </w:pPr>
      <w:r>
        <w:rPr>
          <w:iCs/>
          <w:color w:val="FF0000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2"/>
        </w:numPr>
        <w:rPr>
          <w:lang w:val="ru-RU"/>
        </w:rPr>
      </w:pPr>
      <w:bookmarkStart w:id="11" w:name="_Toc51339696"/>
      <w:bookmarkStart w:id="12" w:name="_Toc75446578"/>
      <w:r>
        <w:rPr>
          <w:lang w:val="ru-RU"/>
        </w:rPr>
        <w:t xml:space="preserve">Требования </w:t>
      </w:r>
      <w:bookmarkEnd w:id="11"/>
      <w:bookmarkEnd w:id="12"/>
      <w:r>
        <w:rPr>
          <w:lang w:val="ru-RU"/>
        </w:rPr>
        <w:t xml:space="preserve">к срокам поставки продукции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75446579"/>
      <w:bookmarkStart w:id="14" w:name="_Toc50125127"/>
      <w:bookmarkStart w:id="15" w:name="_Toc51339697"/>
      <w:bookmarkStart w:id="16" w:name="_Toc501251261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7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5588" w:type="dxa"/>
        <w:jc w:val="left"/>
        <w:tblInd w:w="-11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noVBand="1" w:val="04a0" w:noHBand="0" w:lastColumn="0" w:firstColumn="1" w:lastRow="0" w:firstRow="1"/>
      </w:tblPr>
      <w:tblGrid>
        <w:gridCol w:w="1128"/>
        <w:gridCol w:w="8505"/>
        <w:gridCol w:w="2268"/>
        <w:gridCol w:w="3686"/>
      </w:tblGrid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/>
            </w:pPr>
            <w:r>
              <w:rPr/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 xml:space="preserve">Комплектное распределительное устройство </w:t>
            </w:r>
            <w:r>
              <w:rPr>
                <w:bCs/>
                <w:color w:val="000000"/>
                <w:sz w:val="24"/>
                <w:szCs w:val="24"/>
              </w:rPr>
              <w:t xml:space="preserve">наружной </w:t>
            </w:r>
            <w:r>
              <w:rPr>
                <w:bCs/>
                <w:sz w:val="24"/>
                <w:szCs w:val="24"/>
              </w:rPr>
              <w:t>установки 10 кВ серии КРН-10-КЕМ/kz-02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в течение 150 (ста пятидесяти) календарных дней с даты подписания договора.</w:t>
            </w:r>
          </w:p>
        </w:tc>
      </w:tr>
    </w:tbl>
    <w:p>
      <w:pPr>
        <w:pStyle w:val="Heading4"/>
        <w:numPr>
          <w:ilvl w:val="1"/>
          <w:numId w:val="2"/>
        </w:numPr>
        <w:rPr/>
      </w:pPr>
      <w:bookmarkStart w:id="18" w:name="_Toc46743511"/>
      <w:bookmarkStart w:id="19" w:name="_Toc75446581"/>
      <w:bookmarkStart w:id="20" w:name="_Toc467435101"/>
      <w:bookmarkEnd w:id="20"/>
      <w:r>
        <w:rPr/>
        <w:t xml:space="preserve">Требования к </w:t>
      </w:r>
      <w:bookmarkEnd w:id="18"/>
      <w:bookmarkEnd w:id="19"/>
      <w:r>
        <w:rPr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r>
        <w:rPr>
          <w:sz w:val="24"/>
          <w:szCs w:val="24"/>
        </w:rPr>
        <w:t xml:space="preserve"> </w:t>
      </w:r>
      <w:bookmarkStart w:id="21" w:name="_Toc7544658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r>
        <w:rPr>
          <w:sz w:val="24"/>
          <w:szCs w:val="24"/>
        </w:rPr>
        <w:t xml:space="preserve"> </w:t>
      </w:r>
    </w:p>
    <w:tbl>
      <w:tblPr>
        <w:tblStyle w:val="affff8"/>
        <w:tblW w:w="15735" w:type="dxa"/>
        <w:jc w:val="left"/>
        <w:tblInd w:w="-115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noVBand="0" w:val="0000" w:noHBand="0" w:lastColumn="0" w:firstColumn="0" w:lastRow="0" w:firstRow="0"/>
      </w:tblPr>
      <w:tblGrid>
        <w:gridCol w:w="1140"/>
        <w:gridCol w:w="2993"/>
        <w:gridCol w:w="154"/>
        <w:gridCol w:w="3789"/>
        <w:gridCol w:w="2269"/>
        <w:gridCol w:w="2694"/>
        <w:gridCol w:w="2695"/>
      </w:tblGrid>
      <w:tr>
        <w:trPr/>
        <w:tc>
          <w:tcPr>
            <w:tcW w:w="11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47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8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47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8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4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5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КРУН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Комплектное распределительное</w:t>
            </w:r>
            <w:r>
              <w:rPr>
                <w:rFonts w:eastAsia="Times New Roman" w:cs="Times New Roman"/>
                <w:bCs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наружной </w:t>
            </w:r>
            <w:r>
              <w:rPr>
                <w:rFonts w:eastAsia="Times New Roman" w:cs="Times New Roman"/>
                <w:bCs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установки 10 кВ серии КРН-10-КЕМ/kz-02 У1 для заказа КРУН-10 под осуществление технологического присоединения к электрическим сетям №7/25 от 14.04.2025 (АО «КРДВ») в комплекте с шинопроводом.</w:t>
            </w:r>
          </w:p>
        </w:tc>
        <w:tc>
          <w:tcPr>
            <w:tcW w:w="37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приложением № 1 к настоящим Техническим требованиям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заполненные приложения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сроку изготовления закупаемого оборудования.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Год изготовления (выпуска) закупаемого оборудования не ранее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2025гг.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Указание характеристик.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год выпуска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к качеству поставляемого оборудования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Оборудование должно быть новым, серийного производства, ранее не используемым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5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1.4.1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Изготовитель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1.4.2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Россия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1.4.3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Заводской тип (марка)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КРУН 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(серия КРН-10-КЕМ/kz-02 У1)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или эквивалент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1.4.4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Количество шкафов,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шкаф отходящей линии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шкаф вводных линий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секц. разъединитель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1.4.5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Номинальное напряжение, кВ,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1.4.6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1.4.7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Номинальная частота переменного тока, Гц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1.4.8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 главных цепей, А, не менее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Отходящая линия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630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1.4.9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 сборных шин, 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1.4.10</w:t>
            </w:r>
          </w:p>
        </w:tc>
        <w:tc>
          <w:tcPr>
            <w:tcW w:w="314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Напряжение вспомогательных цепей,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постоянного тока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1.5.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Требования к стойкости при сквозных токах КЗ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1.5.1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Ток термической стойкости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 кА, не менее</w:t>
            </w:r>
          </w:p>
        </w:tc>
        <w:tc>
          <w:tcPr>
            <w:tcW w:w="39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/>
              <w:t>1.5.2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Время протекания тока термической стойкости, с: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для главных цепей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для цепей заземления</w:t>
            </w:r>
          </w:p>
        </w:tc>
        <w:tc>
          <w:tcPr>
            <w:tcW w:w="39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1.5.3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 электродинамической стойкости главных цепей, кА, не менее</w:t>
            </w:r>
          </w:p>
        </w:tc>
        <w:tc>
          <w:tcPr>
            <w:tcW w:w="39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510" w:hanging="56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Номинальные значения климатических факторов внешней среды по ГОСТ 15150-69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Климатическое исполнение (У, ХЛ) и категория размещения по ГОСТ 15150-69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УХЛ1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Верхнее рабочее значение температуры окружающего воздуха,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+40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Нижнее рабочее значение температуры окружающего воздуха,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-60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Высота установки над уровнем моря, м не более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Сейсмичность района, баллов по шкале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MSK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-64,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Технические требования к конструкции, изготовлению и материалам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1.7.1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выкатного элемента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Отсек выкатного элемента с отдельным доступом, с наличием фиксированных рабочего и контрольного положения выкатного элемента, с автоматическими защитными шторками, с возможностью взаимозаменяемости выкатных элементов шкафов КРУН одного типоисполнения.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Выкатной элемент с выкатом на пол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Отсек сборных шин – с нижним расположением.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Вид высоковольтных присоединений (кабельный, шинный):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Ячейки отходящих ВЛ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—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воздушный ввод.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Ячейки отходящих КЛ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—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кабельный ввод.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Ячейка шиносоеденительная (секционные разъединители).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обслуживания (одностороннее, двухстороннее)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right="-10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двухстороннее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Корпус – металлический с возможностью локализации внутренних повреждений, с клапанами разгрузки. Направление выхлопа вверх – в нерабочую зону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Степень защиты оболочки по ГОСТ 14254-96,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IP 34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1.7.9.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18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Ячейки с антикоррозионным покрытием из оцинкованной или покрытой полимерным покрытием стали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1.7.10.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Цвет ячеек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серый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1.7.11.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Вид управления выключателями нагрузки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Местное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1.7.12.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284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Материал ошиновки.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Al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284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встроенному выключателю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Изготовитель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ВНЗ 10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выключателя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ВНР-10/630-20 УХЛ2 с приводом ПР-17, или эквивалент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Номинальное рабочее напряжение, кВ,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-108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ток, А,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 отключения, кА,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стойкости при сквозных токах КЗ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1.8.8.1.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Ток термической стойкости, кА,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1.8.8.2.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Время протекания тока термической стойкости, с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1.9.9.</w:t>
            </w:r>
          </w:p>
        </w:tc>
        <w:tc>
          <w:tcPr>
            <w:tcW w:w="14594" w:type="dxa"/>
            <w:gridSpan w:val="6"/>
            <w:tcBorders>
              <w:top w:val="nil"/>
              <w:lef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284" w:hanging="0"/>
              <w:contextualSpacing/>
              <w:jc w:val="left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коммутационной стойкости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1.9.9.1.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 электродинамической стойкости, кА,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1.9.9.2.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Ресурс по коммутационной стойкости (для каждого полюса):</w:t>
              <w:br/>
              <w:t xml:space="preserve">- количество операций «О» при номинальном токе отключения, не менее </w:t>
              <w:br/>
              <w:t>- количество операций «О» («В») при номинальном токе,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50000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1.9.9.3.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Ресурс выключателя по механической стойкости, циклов В – О,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50000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1.9.10.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электрической прочности изоляции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ГОСТ 15 16.3-96 уровень «б»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</w:t>
            </w:r>
          </w:p>
        </w:tc>
        <w:tc>
          <w:tcPr>
            <w:tcW w:w="14594" w:type="dxa"/>
            <w:gridSpan w:val="6"/>
            <w:tcBorders>
              <w:top w:val="nil"/>
              <w:lef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Собственное время отключения, с, не более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Полное время отключения, с, не более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Разновременность замыкания и размыкания контактов полюсов и разрывов в соответствии с ГОСТ Р 52565-2006 п. 6.4.7,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Собственное время включения, с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Вид привода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Электромагнитный с магнитной защелкой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Напряжение вспомогательных цепей,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постоянного тока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Пределы измерения напряжения цепей управления, 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включения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отключения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Кол-во электромагнитов отключения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1.9.11.9.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Кол-во электромагнитов включения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1.9.11.10.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блока управления вакуумным выключателем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Наибольший пик тока включения, кА,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Начальное действующее значение периодической составляющей тока включения, кА,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Напряжение питания катушек управления (включения и отключения), 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Исполнение силового выключателя (выкатной)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Расположение полюсов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фронтальное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Привод выкатного элемента (ручной или моторный)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1.9.18.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Периодичность и объем технического обслуживания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</w:t>
            </w:r>
          </w:p>
        </w:tc>
        <w:tc>
          <w:tcPr>
            <w:tcW w:w="6936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284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трансформаторам тока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Заводской тип (марка), Изготовитель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Номинальное рабочее напряжение,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Допустимая перегрузка по первичному току, при котором сохраняется заявленный класс точности для измерительных обмоток, при температуре окружающего воздуха до +40°С, %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Ток термической стойкости, не менее 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Время протекания тока термической стойкости, с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Ток электродинамической стойкости, 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1.10.9.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ток первичной обмотки/Номинальный вторичный ток, 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1.10.10.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Класс точности: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отходящая линия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Номинальная мощность, ВА: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отходящая линия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Номинальная предельная кратность: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электрической прочности изоляции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Коэффициент безопасности приборов обмотки для измерений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Межповерочный интервал (МПИ)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Действующее свидетельство об утверждении типа средства измерения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1.10.17.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 результатах поверки в целях подтверждения поверки должны быть переданы в ФИФ по обеспечению единства измерений в соответствии с порядком создания и ведения ФГИС «Аршин».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</w:t>
            </w:r>
          </w:p>
        </w:tc>
        <w:tc>
          <w:tcPr>
            <w:tcW w:w="6936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трансформаторам напряжения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Заводской тип (марка), Изготовитель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Номинальное рабочее напряжение,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Номинальное напряжение вторичных основной и дополнительных обмоток,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Класс точности: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основной вторичной обмотки для измерений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дополнительной вторичной обмотки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Номинальная трехфазная мощность: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основной вторичной обмотки, 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дополнительной вторичной обмотки, ВА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внешней изоляции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внутренней изоляции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1.11.9.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Схема и группа соединения обмоток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1.11.10.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Климатическое исполнение и категория размещения по ГОСТ 15150-69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1.11.11.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Межповерочный интервал (МПИ)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1.11.12.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Действующее свидетельство об утверждении типа средства измерения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1.11.13.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 результатах поверки в целях подтверждения поверки должны быть переданы в ФИФ по обеспечению единства измерений в соответствии с порядком создания и ведения ФГИС «Аршин».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</w:t>
            </w:r>
          </w:p>
        </w:tc>
        <w:tc>
          <w:tcPr>
            <w:tcW w:w="6936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встроенным ограничителям перенапряжения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Изготовитель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Россия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Заводской тип (марка)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ОПН-РВ-10/12,6/5/150 УХЛ1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Номинальное напряжение сети,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Наибольшее рабочее напряжение сети, кВ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Наибольшее длительно допустимое рабочее напряжение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ОПН кВ,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Номинальный разрядный ток, 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электрической прочности изоляции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ГОСТ 1516.3-96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1.12.9.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Конструктивное исполнение ОПН (опорное/подвесное)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опорное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1.12.10.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Периодичность и объем технического обслуживания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</w:t>
            </w:r>
          </w:p>
        </w:tc>
        <w:tc>
          <w:tcPr>
            <w:tcW w:w="6936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Релейная защита и автоматика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аппаратуры релейной защиты и автоматики ячеек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Напряжение питание вторичных цепей оперативного тока, 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Схемы вторичных соединений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Расположение аппаратуры релейной защиты и автоматики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дуговой защиты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ЭМС устройств РЗА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bookmarkStart w:id="22" w:name="__DdeLink__6359_339672452"/>
            <w:bookmarkEnd w:id="22"/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Межповерочный интервал (МПИ) амперметра (цифрового преобразователя) PA194I-9К41,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</w:t>
            </w:r>
          </w:p>
        </w:tc>
        <w:tc>
          <w:tcPr>
            <w:tcW w:w="6936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Учет электроэнергии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 счетчика, марка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Класс точности счетчика (для учета активной/реактивной электрической энергии)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Испытательная коробка для счетчиков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Расположение счетчика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Действующее свидетельство об утверждении типа средства измерения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 результатах поверки в целях подтверждения поверки должны быть переданы в ФИФ по обеспечению единства измерений в соответствии с порядком создания и ведения ФГИС «Аршин».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1.14.7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релейном отсеке установить разветвители интерфейсов ПР-3 в количестве 2 шт., подключить интерфейсный выходы прибора учета к ПР-3.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1.14.8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Межповерочный интервал (МПИ) счетчика,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1.15.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по надежности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1.15.1.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30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Sylfaen"/>
                <w:sz w:val="24"/>
                <w:szCs w:val="24"/>
                <w:shd w:fill="auto" w:val="clear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</w:t>
            </w:r>
          </w:p>
        </w:tc>
        <w:tc>
          <w:tcPr>
            <w:tcW w:w="6936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Комплектность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Sylfaen"/>
                <w:sz w:val="24"/>
                <w:szCs w:val="24"/>
                <w:shd w:fill="auto" w:val="clear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Шкафы КРУН в комплекте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Шкаф ввода питания для организации шинок оперативного постоянного тока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Трансформаторы тока нулевой последовательности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1.16.4.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Шинные ввода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1.16.5.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Шинопровод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1.16.6.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Запасные части и принадлежности (ЗИП)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1.16.7.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Техническое описание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1.16.8.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Принципиальные и монтажные схемы вспомогательных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цепей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1.16.9.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Эксплуатационная документация на русском языке (количество экземпляров)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1.17.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по сертификации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1.17.1.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Измерительные трансформаторы, средства измерения и учета должны иметь действующие на момент изготовления сертификаты об утверждении типа средств измерении информация о первичной поверке должно быть внесена в Федеральный информационный фонд «Аршин».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нет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1.17.2.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декларации соответствия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Да, указать </w:t>
              <w:br/>
              <w:t xml:space="preserve">номер и дату </w:t>
              <w:br/>
              <w:t>документов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1.18.</w:t>
            </w:r>
          </w:p>
        </w:tc>
        <w:tc>
          <w:tcPr>
            <w:tcW w:w="14594" w:type="dxa"/>
            <w:gridSpan w:val="6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right="284" w:hanging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Маркировка, упаковка, транспортировка, условия хранения</w:t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1.18.1.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Маркировка, упаковка и консервация по, ГОСТ 14192-96, ГОСТ 23216-78 и ГОСТ 15150-69 (да, нет)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1.18.2.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(авто или ж/д транспорт)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1.18.3.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хранения, срок хранения в упаковке изготовителя, отдельно хранящихся деталей, сборочных единиц, ЗИП, год,</w:t>
            </w:r>
          </w:p>
        </w:tc>
        <w:tc>
          <w:tcPr>
            <w:tcW w:w="37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1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594" w:type="dxa"/>
            <w:gridSpan w:val="6"/>
            <w:tcBorders>
              <w:top w:val="nil"/>
              <w:left w:val="nil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  <w:t>В столбце «Предлагаемое значение параметра» настоящей таблицы Участник должен подтвердить выполнение каждого пункта требования конкретным параметром.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  <w:t>Параметры, отмеченные «*» - должны быть представлены изготовителем (конкретным параметром).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145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693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от 27.12.2002 г. № 184-ФЗ «О техническом регулировании», 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Высоковольтное оборудование должно иметь декларацию о соответствии (высоковольтные выключатели ГОСТ 1516.3-96, ГОСТ Р 52565-2006, шкафы КРУ 6-35 кВ ГОСТ 1516.3-96, ГОСТ 14693-90).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характеристик.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Предоставить регистрационные номера деклараций о соответствии или копии деклараций о соответствии на выключатели и шкафы КРУ 10 кВ.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3.2.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2">
              <w:r>
                <w:rPr>
                  <w:rStyle w:val="Hyperlink"/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https://fsa.gov.ru/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( 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требование п.6 ст.24 ФЗ-184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характеристик.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Представить регистрационные номера деклараций о соответствии или копии деклараций о соответствии.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3.3.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На основании п. 4.6 ГОСТа 14693-90 КРУ должны быть протоколы с положительным результатом квалификационных или периодических испытаний КРУ на соответствие заявленных характеристик требованиями ГОСТ 14693-90 п.3.2 (для КРУ-6-10 кВ).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предоставить протоколы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145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5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31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7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менее 60 (шестидесяти) месяцев 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даты подписания накладной ТОРГ-12 или УПД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характеристик.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срок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4.2.</w:t>
            </w:r>
          </w:p>
        </w:tc>
        <w:tc>
          <w:tcPr>
            <w:tcW w:w="31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защиту от коррозии, при отсутствии механических повреждений.</w:t>
            </w:r>
          </w:p>
        </w:tc>
        <w:tc>
          <w:tcPr>
            <w:tcW w:w="37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 лет с даты подписания накладной ТОРГ-12 или УПД.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Указание характеристик.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срок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145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 продукции (для подтверждения применимости предложенной Участником продукции (в том числе эквивалентной продукции), а также ее соответствия техническим требованиям Заказчика). Документация поставляется для каждого КРУН к ТПиР №7/25 от 14.04.2025 (АО «КРДВ»).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5.1.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Главные электрические схемы КРУН.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схемы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5.2.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Габаритно – установочные чертежи шкафов КРУН и наибольшей тележки КРУН с установленным на ней выкатным элементом (со всеми выступающими частями, отдельностоящей) с указанием всех размеров.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5.3.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Планы расположения оборудования. На плане и чертежах должны быть указаны все наружные и все внутренние размеры помещения, и монтажные размеры.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5.4.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 (полный текст) на КРУН-10 кВ.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Предоставить руководства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5.5.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Технические условия (ТУ) на ячейки КРУН (полный текст)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ТУ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145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6.1.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КРУН 10 кВ должны соответствовать ГОСТ 14693-90 «Устройства комплектные распределительные негерметизированные в металлической оболочке на напряжение до 10 кВ. Общие технические условия».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6.2.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Выключатели 10 кВ должны соответствовать ГОСТ Р 52565-2006 «Выключатели переменного тока на напряжения от 3 до 750 кВ. Общие технические условия».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6.5.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КРУН и встроенное оборудование должно соответствовать требованиям ПУЭ, ТУ, руководствам (инструкциям) по эксплуатации завода-изготовителя, техническому описанию, а также опросным листам.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4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6.6.</w:t>
            </w:r>
          </w:p>
        </w:tc>
        <w:tc>
          <w:tcPr>
            <w:tcW w:w="693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от 26.06.2008 г. № 102-ФЗ «Об обеспечении единства измерений» трансформаторы тока, трансформаторы напряжения и счетчики электрической энергии, применяемые в сфере государственного регулирования, должны иметь действующее «Свидетельство об утверждении типа».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Предоставление документов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отсканированные действующие копии «Свидетельств об утверждении типа» на трансформаторы тока, трансформаторы напряжения и счетчики электрической энергии.</w:t>
            </w:r>
          </w:p>
        </w:tc>
        <w:tc>
          <w:tcPr>
            <w:tcW w:w="26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567" w:right="567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/>
      </w:pPr>
      <w:bookmarkStart w:id="23" w:name="_Toc75446583"/>
      <w:bookmarkStart w:id="24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bookmarkEnd w:id="24"/>
      <w:r>
        <w:rPr>
          <w:sz w:val="24"/>
          <w:szCs w:val="24"/>
          <w:lang w:val="ru-RU"/>
        </w:rPr>
        <w:t xml:space="preserve"> на этапе закупки</w:t>
      </w:r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3.1.</w:t>
        <w:tab/>
        <w:t xml:space="preserve">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3.2. Все цены в предложении должны включать все налоги, транспортные расходы,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sz w:val="24"/>
          <w:szCs w:val="24"/>
          <w:lang w:val="ru-RU"/>
        </w:rPr>
      </w:pPr>
      <w:bookmarkStart w:id="25" w:name="_Toc75446584"/>
      <w:r>
        <w:rPr>
          <w:sz w:val="24"/>
          <w:szCs w:val="24"/>
          <w:lang w:val="ru-RU"/>
        </w:rPr>
        <w:t xml:space="preserve">Требования </w:t>
      </w:r>
      <w:bookmarkEnd w:id="25"/>
      <w:r>
        <w:rPr>
          <w:bCs/>
          <w:sz w:val="24"/>
          <w:szCs w:val="24"/>
          <w:lang w:val="ru-RU"/>
        </w:rPr>
        <w:t>к отношению Участника к изготовителю предлагаемой продукции (оценочное требование – предпочтение, не является основанием для отклонения заявки Участника):</w:t>
      </w:r>
    </w:p>
    <w:p>
      <w:pPr>
        <w:pStyle w:val="Normal"/>
        <w:widowControl w:val="false"/>
        <w:spacing w:before="60" w:after="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eastAsia="x-none"/>
        </w:rPr>
        <w:t xml:space="preserve">4.1 </w:t>
      </w:r>
      <w:r>
        <w:rPr>
          <w:rFonts w:eastAsia="Calibri"/>
          <w:sz w:val="24"/>
          <w:szCs w:val="24"/>
          <w:lang w:val="x-none" w:eastAsia="x-none"/>
        </w:rPr>
        <w:t xml:space="preserve">Для оценки Участника по неценовому критерию «отношение Участника закупки к изготовителю </w:t>
      </w:r>
      <w:r>
        <w:rPr>
          <w:rFonts w:eastAsia="Calibri"/>
          <w:sz w:val="24"/>
          <w:szCs w:val="24"/>
          <w:lang w:eastAsia="x-none"/>
        </w:rPr>
        <w:t>комплектных распределительных устройств 6-10кВ</w:t>
      </w:r>
      <w:r>
        <w:rPr>
          <w:rFonts w:eastAsia="Calibri"/>
          <w:sz w:val="24"/>
          <w:szCs w:val="24"/>
          <w:lang w:val="x-none" w:eastAsia="x-none"/>
        </w:rPr>
        <w:t>» Участнику рекомендуется представить документы, указанные в описании порядка расчета данного критерия оценки в Приложени</w:t>
      </w:r>
      <w:r>
        <w:rPr>
          <w:rFonts w:eastAsia="Calibri"/>
          <w:sz w:val="24"/>
          <w:szCs w:val="24"/>
          <w:lang w:eastAsia="x-none"/>
        </w:rPr>
        <w:t>и</w:t>
      </w:r>
      <w:r>
        <w:rPr>
          <w:rFonts w:eastAsia="Calibri"/>
          <w:sz w:val="24"/>
          <w:szCs w:val="24"/>
          <w:lang w:val="x-none" w:eastAsia="x-none"/>
        </w:rPr>
        <w:t xml:space="preserve"> № _____ к Документации о закупке – Порядок и критерии оценки и сопоставления заявок</w:t>
      </w:r>
    </w:p>
    <w:p>
      <w:pPr>
        <w:pStyle w:val="Normal"/>
        <w:widowControl w:val="false"/>
        <w:spacing w:before="60" w:after="0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>Неисполнение требований данного пункта не является основанием для отклонения заявки Участника при условии отсутствия иных требований по отношению к таким документам в составе документации о закупке. При наличии в составе Документации о закупке помимо оценочного критерия, отборочных требований по отношению к таким документам, Участнику необходимо выполнить отборочные требования.</w:t>
      </w:r>
    </w:p>
    <w:p>
      <w:pPr>
        <w:pStyle w:val="Heading1"/>
        <w:numPr>
          <w:ilvl w:val="0"/>
          <w:numId w:val="2"/>
        </w:numPr>
        <w:ind w:left="0" w:hanging="284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опыту участника.</w:t>
      </w:r>
    </w:p>
    <w:p>
      <w:pPr>
        <w:pStyle w:val="Normal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eastAsia="x-none"/>
        </w:rPr>
        <w:t xml:space="preserve">5.1 </w:t>
      </w:r>
      <w:r>
        <w:rPr>
          <w:rFonts w:eastAsia="Calibri"/>
          <w:sz w:val="24"/>
          <w:szCs w:val="24"/>
          <w:lang w:val="x-none" w:eastAsia="x-none"/>
        </w:rPr>
        <w:t xml:space="preserve">Участник должен иметь опыт поставки комплектных распределительных устройств </w:t>
      </w:r>
      <w:r>
        <w:rPr>
          <w:rFonts w:eastAsia="Calibri"/>
          <w:sz w:val="24"/>
          <w:szCs w:val="24"/>
          <w:lang w:eastAsia="x-none"/>
        </w:rPr>
        <w:t>6-</w:t>
      </w:r>
      <w:r>
        <w:rPr>
          <w:rFonts w:eastAsia="Calibri"/>
          <w:sz w:val="24"/>
          <w:szCs w:val="24"/>
          <w:lang w:val="x-none" w:eastAsia="x-none"/>
        </w:rPr>
        <w:t>10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val="x-none" w:eastAsia="x-none"/>
        </w:rPr>
        <w:t>кВ, при этом за последние 5 лет, предшествующие дате окончания срока подачи заявок на участие в конкурентной закупке, Участником должны быть исполнены обязательства осуществлена поставка) в общем/совокупном объеме не менее 30% от начальной (максимальной) цены договора (лота), указанной в Извещении. 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 Документации о закупке с обязательным предоставлением подтверждающих указанный в справке опыт документов (копий договоров и товарных накладных (Торг-12) или универсально передаточных документов (УПД), подписанных и скреплённых печатями с обеих сторон. Договора, представленные в отсутствии товарных накладных (Торг-12) или универсально передаточных документов (УПД) по нему (в отношении всех этапов исполнения обязательств), или подтверждающий выполнение иных работ Заказчиком не оцениваются и не являются подтверждением совокупного опыта Участника. Сведения, не позволяющие явно/однозначно определить наличие требуемого опыта у Участника, не оцениваются.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iCs/>
          <w:sz w:val="24"/>
          <w:szCs w:val="24"/>
        </w:rPr>
      </w:pPr>
      <w:bookmarkStart w:id="26" w:name="_Toc75446585"/>
      <w:bookmarkStart w:id="27" w:name="_Toc46743519"/>
      <w:bookmarkStart w:id="28" w:name="_Toc51339699"/>
      <w:bookmarkEnd w:id="26"/>
      <w:bookmarkEnd w:id="27"/>
      <w:bookmarkEnd w:id="28"/>
      <w:r>
        <w:rPr>
          <w:iCs/>
          <w:sz w:val="24"/>
          <w:szCs w:val="24"/>
        </w:rPr>
        <w:t>Приложения</w:t>
      </w:r>
    </w:p>
    <w:p>
      <w:pPr>
        <w:pStyle w:val="ListParagraph"/>
        <w:ind w:left="0" w:hanging="0"/>
        <w:jc w:val="both"/>
        <w:rPr>
          <w:highlight w:val="none"/>
          <w:shd w:fill="auto" w:val="clear"/>
        </w:rPr>
      </w:pPr>
      <w:bookmarkStart w:id="29" w:name="_GoBack"/>
      <w:bookmarkEnd w:id="29"/>
      <w:r>
        <w:rPr>
          <w:b/>
          <w:bCs/>
          <w:i/>
          <w:iCs/>
          <w:shd w:fill="auto" w:val="clear"/>
        </w:rPr>
        <w:t>Приложение №1 – Опросный лист для заказа КРУН-10 технологического присоединения к электрическим сетям №7/25 от 14.04.2025 (АО «КРДВ»).</w:t>
      </w:r>
    </w:p>
    <w:p>
      <w:pPr>
        <w:pStyle w:val="ListParagraph"/>
        <w:ind w:left="0" w:hanging="0"/>
        <w:jc w:val="both"/>
        <w:rPr>
          <w:b/>
          <w:bCs/>
          <w:i/>
          <w:i/>
          <w:iCs/>
          <w:highlight w:val="yellow"/>
          <w:lang w:eastAsia="x-none"/>
        </w:rPr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sid w:val="00c36f30"/>
    <w:rPr>
      <w:sz w:val="16"/>
      <w:szCs w:val="16"/>
    </w:rPr>
  </w:style>
  <w:style w:type="character" w:styleId="Style14" w:customStyle="1">
    <w:name w:val="Символы концевой сноски"/>
    <w:qFormat/>
    <w:rPr/>
  </w:style>
  <w:style w:type="character" w:styleId="Style15" w:customStyle="1">
    <w:name w:val="Символ нумерации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327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Пункт б/н"/>
    <w:basedOn w:val="Normal"/>
    <w:qFormat/>
    <w:rsid w:val="00ed28f1"/>
    <w:pPr>
      <w:tabs>
        <w:tab w:val="clear" w:pos="327"/>
        <w:tab w:val="left" w:pos="1134" w:leader="none"/>
      </w:tabs>
      <w:spacing w:lineRule="auto" w:line="360"/>
      <w:ind w:firstLine="567"/>
      <w:jc w:val="both"/>
    </w:pPr>
    <w:rPr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sa.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FAD0-E643-4866-B4F7-8C876D74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Application>AlterOffice/3.4.0.9$Linux_X86_64 LibreOffice_project/b8daf9e823b1a5463a2f48435ddc2e8696e7d4fc</Application>
  <AppVersion>15.0000</AppVersion>
  <Pages>18</Pages>
  <Words>2783</Words>
  <Characters>18855</Characters>
  <CharactersWithSpaces>20956</CharactersWithSpaces>
  <Paragraphs>704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2023-08-16T06:53:00Z</dcterms:created>
  <dc:creator>Быстров Олег Геннадьевич</dc:creator>
  <dc:description/>
  <dc:language>ru-RU</dc:language>
  <cp:lastModifiedBy>seredkina_iv</cp:lastModifiedBy>
  <cp:lastPrinted>2006-07-26T14:04:00Z</cp:lastPrinted>
  <dcterms:modified xsi:type="dcterms:W3CDTF">2026-06-10T08:56:08Z</dcterms:modified>
  <cp:revision>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i4>-1956056859</vt:i4>
  </property>
  <property fmtid="{D5CDD505-2E9C-101B-9397-08002B2CF9AE}" pid="7" name="_AuthorEmail">
    <vt:lpwstr>Slezkin-SV@amur.drsk.ru</vt:lpwstr>
  </property>
  <property fmtid="{D5CDD505-2E9C-101B-9397-08002B2CF9AE}" pid="8" name="_AuthorEmailDisplayName">
    <vt:lpwstr>Слёзкин С.В.</vt:lpwstr>
  </property>
  <property fmtid="{D5CDD505-2E9C-101B-9397-08002B2CF9AE}" pid="9" name="_EmailSubject">
    <vt:lpwstr>2601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