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sz w:val="26"/>
                <w:szCs w:val="26"/>
              </w:rPr>
              <w:t>__________ 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sz w:val="26"/>
                <w:szCs w:val="26"/>
              </w:rPr>
              <w:t>« 10 » Июня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Нерегламентированной закупки по лоту № 5066.1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— 26.20.40.111 Поставка источников питания для филиала АО «ДРСК» «Южно-Якутские электрические сети»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hanging="0" w:left="0"/>
        <w:jc w:val="center"/>
        <w:outlineLvl w:val="9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Заказчик – филиал АО «ДРСК» «Южно-Якутские электрические сети» </w:t>
      </w:r>
      <w:r>
        <w:rPr>
          <w:rFonts w:ascii="Liberation Serif" w:hAnsi="Liberation Serif"/>
          <w:b/>
        </w:rPr>
        <w:t>(678901, Россия, РС (Якутия), г.  Алдан, ул. Мельниченко,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4</w:t>
      </w:r>
      <w:r>
        <w:rPr>
          <w:rFonts w:ascii="Liberation Serif" w:hAnsi="Liberation Serif"/>
          <w:sz w:val="24"/>
          <w:szCs w:val="24"/>
        </w:rPr>
        <w:t>)</w:t>
      </w:r>
      <w:r>
        <w:rPr>
          <w:rFonts w:ascii="Liberation Serif" w:hAnsi="Liberation Serif"/>
          <w:i/>
          <w:szCs w:val="28"/>
        </w:rPr>
        <w:t xml:space="preserve"> </w:t>
      </w:r>
      <w:r>
        <w:rPr>
          <w:rFonts w:ascii="Liberation Serif" w:hAnsi="Liberation Serif"/>
          <w:szCs w:val="28"/>
        </w:rPr>
        <w:t>(</w:t>
      </w:r>
      <w:r>
        <w:rPr>
          <w:rFonts w:ascii="Liberation Serif" w:hAnsi="Liberation Serif"/>
        </w:rPr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rFonts w:ascii="Liberation Serif" w:hAnsi="Liberation Serif"/>
          <w:szCs w:val="28"/>
        </w:rPr>
        <w:t>лоту № 5066.1</w:t>
      </w:r>
      <w:r>
        <w:rPr>
          <w:rFonts w:ascii="Liberation Serif" w:hAnsi="Liberation Serif"/>
          <w:sz w:val="28"/>
          <w:szCs w:val="28"/>
        </w:rPr>
        <w:t xml:space="preserve"> ОКПД2. 26.20.40.111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Поставка источников питания для филиала АО «ДРСК» «ЮЯЭС»</w:t>
      </w:r>
      <w:r>
        <w:rPr>
          <w:rFonts w:ascii="Liberation Serif" w:hAnsi="Liberation Serif"/>
        </w:rPr>
        <w:t>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Подробные требования к продукции </w:t>
      </w:r>
      <w:r>
        <w:rPr>
          <w:rFonts w:ascii="Liberation Serif" w:hAnsi="Liberation Serif"/>
          <w:szCs w:val="28"/>
        </w:rPr>
        <w:t xml:space="preserve">(в том числе, сведения об объеме, месте, сроках поставляемой продукции) </w:t>
      </w:r>
      <w:r>
        <w:rPr>
          <w:rFonts w:ascii="Liberation Serif" w:hAnsi="Liberation Serif"/>
        </w:rPr>
        <w:t xml:space="preserve">приведены в приложении 1 к настоящему запросу; существенные условия будущего договора </w:t>
      </w:r>
      <w:r>
        <w:rPr>
          <w:rFonts w:ascii="Liberation Serif" w:hAnsi="Liberation Serif"/>
          <w:szCs w:val="28"/>
        </w:rPr>
        <w:t>(в том числе, условия оплаты и гарантийных обязательств)</w:t>
      </w:r>
      <w:r>
        <w:rPr>
          <w:rFonts w:ascii="Liberation Serif" w:hAnsi="Liberation Serif"/>
        </w:rPr>
        <w:t xml:space="preserve"> – см. приложение 4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hanging="567" w:left="567"/>
        <w:rPr>
          <w:highlight w:val="none"/>
          <w:shd w:fill="FFFFFF" w:val="clear"/>
        </w:rPr>
      </w:pPr>
      <w:r>
        <w:rPr>
          <w:rFonts w:ascii="Liberation Serif" w:hAnsi="Liberation Serif"/>
          <w:shd w:fill="FFFFFF" w:val="clear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20"/>
        <w:rPr>
          <w:rFonts w:ascii="Liberation Serif" w:hAnsi="Liberation Serif"/>
        </w:rPr>
      </w:pPr>
      <w:r>
        <w:rPr>
          <w:rFonts w:ascii="Liberation Serif" w:hAnsi="Liberation Serif"/>
        </w:rPr>
        <w:t>66 474,00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720"/>
        <w:rPr>
          <w:rFonts w:ascii="Liberation Serif" w:hAnsi="Liberation Serif"/>
        </w:rPr>
      </w:pPr>
      <w:r>
        <w:rPr>
          <w:rFonts w:ascii="Liberation Serif" w:hAnsi="Liberation Serif"/>
        </w:rPr>
        <w:t>81 098,28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юридический адрес, почтовый адрес, ИНН </w:t>
      </w:r>
      <w:r>
        <w:rPr>
          <w:rFonts w:ascii="Liberation Serif" w:hAnsi="Liberation Serif"/>
          <w:i/>
          <w:szCs w:val="28"/>
        </w:rPr>
        <w:t>[</w:t>
      </w:r>
      <w:r>
        <w:rPr>
          <w:rFonts w:ascii="Liberation Serif" w:hAnsi="Liberation Serif"/>
          <w:i/>
          <w:szCs w:val="28"/>
          <w:shd w:fill="FFFF99" w:val="clear"/>
        </w:rPr>
        <w:t>для юридических лиц</w:t>
      </w:r>
      <w:r>
        <w:rPr>
          <w:rFonts w:ascii="Liberation Serif" w:hAnsi="Liberation Serif"/>
          <w:i/>
          <w:szCs w:val="28"/>
        </w:rPr>
        <w:t xml:space="preserve">] / </w:t>
      </w:r>
      <w:r>
        <w:rPr>
          <w:rFonts w:ascii="Liberation Serif" w:hAnsi="Liberation Serif"/>
          <w:szCs w:val="28"/>
        </w:rPr>
        <w:t xml:space="preserve">паспортные данные, адрес регистрации, ИНН (при наличии) </w:t>
      </w:r>
      <w:r>
        <w:rPr>
          <w:rFonts w:ascii="Liberation Serif" w:hAnsi="Liberation Serif"/>
          <w:i/>
          <w:szCs w:val="28"/>
        </w:rPr>
        <w:t>[</w:t>
      </w:r>
      <w:r>
        <w:rPr>
          <w:rFonts w:ascii="Liberation Serif" w:hAnsi="Liberation Serif"/>
          <w:i/>
          <w:szCs w:val="28"/>
          <w:shd w:fill="FFFF99" w:val="clear"/>
        </w:rPr>
        <w:t>для физических лиц</w:t>
      </w:r>
      <w:r>
        <w:rPr>
          <w:rFonts w:ascii="Liberation Serif" w:hAnsi="Liberation Serif"/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контактные данные: номер телефона, </w:t>
      </w:r>
      <w:r>
        <w:rPr>
          <w:rFonts w:ascii="Liberation Serif" w:hAnsi="Liberation Serif"/>
          <w:szCs w:val="28"/>
          <w:lang w:val="en-US"/>
        </w:rPr>
        <w:t>e</w:t>
      </w:r>
      <w:r>
        <w:rPr>
          <w:rFonts w:ascii="Liberation Serif" w:hAnsi="Liberation Serif"/>
          <w:szCs w:val="28"/>
        </w:rPr>
        <w:t>-</w:t>
      </w:r>
      <w:r>
        <w:rPr>
          <w:rFonts w:ascii="Liberation Serif" w:hAnsi="Liberation Serif"/>
          <w:szCs w:val="28"/>
          <w:lang w:val="en-US"/>
        </w:rPr>
        <w:t>mail</w:t>
      </w:r>
      <w:r>
        <w:rPr>
          <w:rFonts w:ascii="Liberation Serif" w:hAnsi="Liberation Serif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 xml:space="preserve">гарантии наличия у Поставщика </w:t>
      </w:r>
      <w:r>
        <w:rPr>
          <w:rFonts w:ascii="Liberation Serif" w:hAnsi="Liberation Serif"/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подтверждение возможности поставки требуемого объема продукции 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Liberation Serif" w:hAnsi="Liberation Serif"/>
          <w:szCs w:val="28"/>
        </w:rPr>
        <w:t>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Liberation Serif" w:hAnsi="Liberation Serif"/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Liberation Serif" w:hAnsi="Liberation Serif"/>
          <w:szCs w:val="28"/>
        </w:rPr>
        <w:t>(см.</w:t>
      </w:r>
      <w:r>
        <w:rPr>
          <w:rFonts w:ascii="Liberation Serif" w:hAnsi="Liberation Serif"/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hanging="567" w:left="56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подачи </w:t>
      </w:r>
      <w:r>
        <w:rPr>
          <w:rFonts w:ascii="Liberation Serif" w:hAnsi="Liberation Serif"/>
          <w:szCs w:val="28"/>
        </w:rPr>
        <w:t>технико-коммерческих предложений</w:t>
      </w:r>
      <w:r>
        <w:rPr>
          <w:rFonts w:ascii="Liberation Serif" w:hAnsi="Liberation Serif"/>
        </w:rPr>
        <w:t xml:space="preserve">: до </w:t>
      </w:r>
      <w:r>
        <w:rPr>
          <w:rFonts w:ascii="Liberation Serif" w:hAnsi="Liberation Serif"/>
        </w:rPr>
        <w:t>17</w:t>
      </w:r>
      <w:r>
        <w:rPr>
          <w:rFonts w:ascii="Liberation Serif" w:hAnsi="Liberation Serif"/>
        </w:rPr>
        <w:t>.0</w:t>
      </w:r>
      <w:r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.2026г. 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hanging="0" w:left="567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keepNext w:val="true"/>
        <w:ind w:firstLine="851"/>
        <w:rPr>
          <w:rFonts w:ascii="Liberation Serif" w:hAnsi="Liberation Serif"/>
        </w:rPr>
      </w:pPr>
      <w:r>
        <w:rPr>
          <w:rFonts w:ascii="Liberation Serif" w:hAnsi="Liberation Serif"/>
          <w:szCs w:val="28"/>
        </w:rPr>
        <w:t>Приложения:</w:t>
      </w:r>
      <w:r>
        <w:rPr>
          <w:rFonts w:ascii="Liberation Serif" w:hAnsi="Liberation Serif"/>
        </w:rPr>
        <w:tab/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— на 2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- на 1 л.</w:t>
      </w:r>
    </w:p>
    <w:p>
      <w:pPr>
        <w:pStyle w:val="Normal"/>
        <w:numPr>
          <w:ilvl w:val="0"/>
          <w:numId w:val="4"/>
        </w:numPr>
        <w:jc w:val="left"/>
        <w:rPr>
          <w:rFonts w:ascii="Liberation Serif" w:hAnsi="Liberation Serif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22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hanging="0" w:left="851"/>
        <w:rPr>
          <w:rFonts w:ascii="Liberation Serif" w:hAnsi="Liberation Serif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Liberation Serif" w:hAnsi="Liberation Serif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hanging="491" w:left="85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hanging="0" w:left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hanging="0" w:left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firstLine="567" w:left="1134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firstLine="567" w:left="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AlterOffice/2026.0.1.1$Linux_X86_64 LibreOffice_project/8ed090b92615492561dee3ed0fff427c76b62756</Application>
  <AppVersion>15.0000</AppVersion>
  <Pages>3</Pages>
  <Words>539</Words>
  <Characters>3668</Characters>
  <CharactersWithSpaces>4160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fedotov_iv</cp:lastModifiedBy>
  <dcterms:modified xsi:type="dcterms:W3CDTF">2026-06-11T10:15:12Z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