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rPr>
      </w:pPr>
      <w:r>
        <w:rPr>
          <w:sz w:val="24"/>
        </w:rPr>
        <w:t xml:space="preserve">Приложение №1 </w:t>
      </w:r>
    </w:p>
    <w:p>
      <w:pPr>
        <w:pStyle w:val="Normal"/>
        <w:jc w:val="right"/>
        <w:rPr>
          <w:sz w:val="24"/>
        </w:rPr>
      </w:pPr>
      <w:r>
        <w:rPr>
          <w:sz w:val="24"/>
        </w:rPr>
      </w:r>
    </w:p>
    <w:p>
      <w:pPr>
        <w:pStyle w:val="Normal"/>
        <w:widowControl w:val="false"/>
        <w:shd w:val="clear" w:fill="FFFFFF"/>
        <w:tabs>
          <w:tab w:val="clear" w:pos="708"/>
          <w:tab w:val="left" w:pos="1406" w:leader="none"/>
        </w:tabs>
        <w:spacing w:lineRule="exact" w:line="269"/>
        <w:ind w:left="5" w:right="0" w:firstLine="562"/>
        <w:jc w:val="center"/>
        <w:rPr>
          <w:rFonts w:ascii="Liberation Serif;Times New Roman" w:hAnsi="Liberation Serif;Times New Roman" w:cs="Liberation Serif;Times New Roman"/>
          <w:i/>
          <w:i/>
          <w:iCs/>
          <w:color w:val="040404"/>
          <w:shd w:fill="auto" w:val="clear"/>
        </w:rPr>
      </w:pPr>
      <w:r>
        <w:rPr>
          <w:rFonts w:eastAsia="Times New Roman CYR" w:cs="Times New Roman CYR" w:ascii="Times New Roman CYR" w:hAnsi="Times New Roman CYR"/>
          <w:b/>
          <w:bCs/>
          <w:i/>
          <w:iCs/>
          <w:color w:val="040404"/>
          <w:sz w:val="28"/>
          <w:szCs w:val="28"/>
          <w:shd w:fill="auto" w:val="clear"/>
        </w:rPr>
        <w:t xml:space="preserve">                                                                                                                   </w:t>
      </w:r>
    </w:p>
    <w:p>
      <w:pPr>
        <w:pStyle w:val="Normal"/>
        <w:widowControl w:val="false"/>
        <w:jc w:val="center"/>
        <w:rPr>
          <w:rFonts w:ascii="Liberation Serif;Times New Roman" w:hAnsi="Liberation Serif;Times New Roman" w:cs="Liberation Serif;Times New Roman"/>
          <w:b/>
          <w:bCs/>
          <w:color w:val="040404"/>
          <w:sz w:val="26"/>
          <w:szCs w:val="26"/>
          <w:shd w:fill="auto" w:val="clear"/>
        </w:rPr>
      </w:pPr>
      <w:r>
        <w:rPr>
          <w:rFonts w:cs="Liberation Serif;Times New Roman" w:ascii="Liberation Serif;Times New Roman" w:hAnsi="Liberation Serif;Times New Roman"/>
          <w:b/>
          <w:bCs/>
          <w:color w:val="040404"/>
          <w:sz w:val="26"/>
          <w:szCs w:val="26"/>
          <w:shd w:fill="auto" w:val="clear"/>
        </w:rPr>
        <w:t xml:space="preserve">Техническое задание </w:t>
      </w:r>
    </w:p>
    <w:p>
      <w:pPr>
        <w:pStyle w:val="Normal"/>
        <w:widowControl w:val="false"/>
        <w:shd w:val="clear" w:fill="FFFFFF"/>
        <w:tabs>
          <w:tab w:val="clear" w:pos="708"/>
          <w:tab w:val="left" w:pos="1406" w:leader="none"/>
        </w:tabs>
        <w:spacing w:lineRule="exact" w:line="269"/>
        <w:ind w:left="5" w:right="0" w:firstLine="562"/>
        <w:jc w:val="center"/>
        <w:rPr>
          <w:rFonts w:ascii="Liberation Serif;Times New Roman" w:hAnsi="Liberation Serif;Times New Roman" w:cs="Liberation Serif;Times New Roman"/>
          <w:i/>
          <w:i/>
          <w:iCs/>
          <w:color w:val="040404"/>
          <w:shd w:fill="auto" w:val="clear"/>
        </w:rPr>
      </w:pPr>
      <w:r>
        <w:rPr>
          <w:rFonts w:cs="Liberation Serif;Times New Roman" w:ascii="Liberation Serif;Times New Roman" w:hAnsi="Liberation Serif;Times New Roman"/>
          <w:b/>
          <w:i/>
          <w:iCs/>
          <w:color w:val="040404"/>
          <w:sz w:val="24"/>
          <w:shd w:fill="auto" w:val="clear"/>
        </w:rPr>
        <w:t>на «ОКПД2 71.20.19.115 Услуги в области информационной безопасности (ЕГАСИК) (постановление Мэра г. Хабаровска) для нужд филиала «Хабаровские электрические сети»</w:t>
      </w:r>
    </w:p>
    <w:p>
      <w:pPr>
        <w:pStyle w:val="Normal"/>
        <w:suppressAutoHyphens w:val="true"/>
        <w:jc w:val="center"/>
        <w:rPr>
          <w:bCs/>
          <w:sz w:val="24"/>
          <w:lang w:eastAsia="ar-SA"/>
        </w:rPr>
      </w:pPr>
      <w:r>
        <w:rPr>
          <w:bCs/>
          <w:sz w:val="24"/>
          <w:lang w:eastAsia="ar-SA"/>
        </w:rPr>
      </w:r>
    </w:p>
    <w:p>
      <w:pPr>
        <w:pStyle w:val="ListParagraph"/>
        <w:numPr>
          <w:ilvl w:val="0"/>
          <w:numId w:val="6"/>
        </w:numPr>
        <w:spacing w:before="120" w:after="0"/>
        <w:ind w:left="0" w:firstLine="709"/>
        <w:contextualSpacing/>
        <w:jc w:val="both"/>
        <w:rPr>
          <w:sz w:val="24"/>
          <w:lang w:eastAsia="ar-SA"/>
        </w:rPr>
      </w:pPr>
      <w:r>
        <w:rPr>
          <w:sz w:val="24"/>
          <w:lang w:eastAsia="ar-SA"/>
        </w:rPr>
        <w:t xml:space="preserve">Перечень, объем закупаемых услуг, периодичность оказания услуг, условия </w:t>
        <w:br/>
        <w:t xml:space="preserve">и порядок оказания услуг  </w:t>
      </w:r>
    </w:p>
    <w:p>
      <w:pPr>
        <w:pStyle w:val="ListParagraph"/>
        <w:numPr>
          <w:ilvl w:val="1"/>
          <w:numId w:val="6"/>
        </w:numPr>
        <w:tabs>
          <w:tab w:val="clear" w:pos="708"/>
          <w:tab w:val="left" w:pos="1134" w:leader="none"/>
        </w:tabs>
        <w:ind w:left="0" w:right="-47" w:firstLine="567"/>
        <w:jc w:val="both"/>
        <w:rPr>
          <w:sz w:val="24"/>
        </w:rPr>
      </w:pPr>
      <w:r>
        <w:rPr>
          <w:sz w:val="24"/>
        </w:rPr>
        <w:t>Перечень закупаемых услуг</w:t>
      </w:r>
    </w:p>
    <w:p>
      <w:pPr>
        <w:pStyle w:val="Normal"/>
        <w:tabs>
          <w:tab w:val="clear" w:pos="708"/>
          <w:tab w:val="left" w:pos="567" w:leader="none"/>
        </w:tabs>
        <w:ind w:firstLine="567"/>
        <w:jc w:val="both"/>
        <w:rPr>
          <w:sz w:val="24"/>
        </w:rPr>
      </w:pPr>
      <w:r>
        <w:rPr>
          <w:sz w:val="24"/>
        </w:rPr>
        <w:tab/>
        <w:t>Оказание комплекса услуг по созданию системы защиты информации и аттестации объекта информатизации.</w:t>
      </w:r>
    </w:p>
    <w:p>
      <w:pPr>
        <w:pStyle w:val="ListParagraph"/>
        <w:numPr>
          <w:ilvl w:val="1"/>
          <w:numId w:val="6"/>
        </w:numPr>
        <w:tabs>
          <w:tab w:val="clear" w:pos="708"/>
          <w:tab w:val="left" w:pos="1134" w:leader="none"/>
        </w:tabs>
        <w:ind w:left="0" w:right="-47" w:firstLine="709"/>
        <w:jc w:val="both"/>
        <w:rPr>
          <w:sz w:val="24"/>
        </w:rPr>
      </w:pPr>
      <w:r>
        <w:rPr>
          <w:sz w:val="24"/>
        </w:rPr>
        <w:t>Объект информатизации – информационная система, которая предназначена для автоматизации обработки оператором информации ограниченного доступа, не содержащей сведений, составляющих государственную тайну (конфиденциальная информация).</w:t>
      </w:r>
      <w:bookmarkStart w:id="0" w:name="_GoBack"/>
      <w:bookmarkEnd w:id="0"/>
    </w:p>
    <w:p>
      <w:pPr>
        <w:pStyle w:val="ListParagraph"/>
        <w:numPr>
          <w:ilvl w:val="1"/>
          <w:numId w:val="6"/>
        </w:numPr>
        <w:tabs>
          <w:tab w:val="clear" w:pos="708"/>
          <w:tab w:val="left" w:pos="1134" w:leader="none"/>
        </w:tabs>
        <w:ind w:left="0" w:right="-47" w:firstLine="709"/>
        <w:jc w:val="both"/>
        <w:rPr>
          <w:sz w:val="24"/>
        </w:rPr>
      </w:pPr>
      <w:r>
        <w:rPr>
          <w:sz w:val="24"/>
        </w:rPr>
        <w:t xml:space="preserve">Оказание услуг должно включать комплекс технических, организационных </w:t>
        <w:br/>
        <w:t>и документационных мероприятий, проводимых в соответствии с законодательством РФ.</w:t>
      </w:r>
    </w:p>
    <w:p>
      <w:pPr>
        <w:pStyle w:val="ListParagraph"/>
        <w:numPr>
          <w:ilvl w:val="0"/>
          <w:numId w:val="6"/>
        </w:numPr>
        <w:tabs>
          <w:tab w:val="clear" w:pos="708"/>
          <w:tab w:val="left" w:pos="360" w:leader="none"/>
          <w:tab w:val="left" w:pos="709" w:leader="none"/>
        </w:tabs>
        <w:ind w:left="0" w:right="-47" w:firstLine="709"/>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Место оказания услуг: Объект расположен по адресам: 680009, Хабаровский край, г.Хабаровск, ул. Промышленная, 13</w:t>
      </w:r>
    </w:p>
    <w:p>
      <w:pPr>
        <w:pStyle w:val="ListParagraph"/>
        <w:numPr>
          <w:ilvl w:val="0"/>
          <w:numId w:val="6"/>
        </w:numPr>
        <w:tabs>
          <w:tab w:val="clear" w:pos="708"/>
          <w:tab w:val="left" w:pos="1418" w:leader="none"/>
        </w:tabs>
        <w:ind w:left="0" w:right="-47" w:firstLine="709"/>
        <w:jc w:val="both"/>
        <w:rPr>
          <w:sz w:val="24"/>
        </w:rPr>
      </w:pPr>
      <w:r>
        <w:rPr>
          <w:sz w:val="24"/>
        </w:rPr>
        <w:t>Состав информационных систем Заказчика (далее – ИС) приведен в таблице 1</w:t>
      </w:r>
    </w:p>
    <w:p>
      <w:pPr>
        <w:pStyle w:val="Normal"/>
        <w:tabs>
          <w:tab w:val="clear" w:pos="708"/>
          <w:tab w:val="left" w:pos="1418" w:leader="none"/>
        </w:tabs>
        <w:spacing w:before="0" w:after="0"/>
        <w:ind w:firstLine="567"/>
        <w:contextualSpacing/>
        <w:jc w:val="right"/>
        <w:rPr>
          <w:sz w:val="24"/>
        </w:rPr>
      </w:pPr>
      <w:r>
        <w:rPr>
          <w:sz w:val="24"/>
        </w:rPr>
        <w:t>Таблица 1</w:t>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5"/>
        <w:gridCol w:w="4952"/>
        <w:gridCol w:w="1713"/>
        <w:gridCol w:w="2720"/>
      </w:tblGrid>
      <w:tr>
        <w:trPr>
          <w:tblHeader w:val="true"/>
          <w:trHeight w:val="382" w:hRule="atLeast"/>
        </w:trPr>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369" w:leader="none"/>
              </w:tabs>
              <w:spacing w:before="0" w:after="0"/>
              <w:contextualSpacing/>
              <w:jc w:val="center"/>
              <w:rPr>
                <w:b/>
                <w:sz w:val="20"/>
                <w:szCs w:val="20"/>
              </w:rPr>
            </w:pPr>
            <w:r>
              <w:rPr>
                <w:b/>
                <w:sz w:val="20"/>
                <w:szCs w:val="20"/>
              </w:rPr>
              <w:t xml:space="preserve">№ </w:t>
            </w:r>
            <w:r>
              <w:rPr>
                <w:b/>
                <w:sz w:val="20"/>
                <w:szCs w:val="20"/>
              </w:rPr>
              <w:t>п/п</w:t>
            </w:r>
          </w:p>
        </w:tc>
        <w:tc>
          <w:tcPr>
            <w:tcW w:w="49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134" w:leader="none"/>
              </w:tabs>
              <w:spacing w:before="0" w:after="0"/>
              <w:contextualSpacing/>
              <w:jc w:val="center"/>
              <w:rPr>
                <w:b/>
                <w:sz w:val="20"/>
                <w:szCs w:val="20"/>
              </w:rPr>
            </w:pPr>
            <w:r>
              <w:rPr>
                <w:b/>
                <w:sz w:val="20"/>
                <w:szCs w:val="20"/>
              </w:rPr>
              <w:t>Наименование</w:t>
            </w:r>
          </w:p>
        </w:tc>
        <w:tc>
          <w:tcPr>
            <w:tcW w:w="1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134" w:leader="none"/>
              </w:tabs>
              <w:spacing w:before="0" w:after="0"/>
              <w:contextualSpacing/>
              <w:jc w:val="center"/>
              <w:rPr>
                <w:b/>
                <w:sz w:val="20"/>
                <w:szCs w:val="20"/>
              </w:rPr>
            </w:pPr>
            <w:r>
              <w:rPr>
                <w:b/>
                <w:sz w:val="20"/>
                <w:szCs w:val="20"/>
              </w:rPr>
              <w:t>Кол-во АРМ/серверов</w:t>
            </w:r>
          </w:p>
        </w:tc>
        <w:tc>
          <w:tcPr>
            <w:tcW w:w="2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134" w:leader="none"/>
              </w:tabs>
              <w:spacing w:before="0" w:after="0"/>
              <w:contextualSpacing/>
              <w:jc w:val="center"/>
              <w:rPr>
                <w:b/>
                <w:sz w:val="20"/>
                <w:szCs w:val="20"/>
              </w:rPr>
            </w:pPr>
            <w:r>
              <w:rPr>
                <w:b/>
                <w:sz w:val="20"/>
                <w:szCs w:val="20"/>
              </w:rPr>
              <w:t>Операционная система</w:t>
            </w:r>
          </w:p>
        </w:tc>
      </w:tr>
      <w:tr>
        <w:trPr>
          <w:trHeight w:val="449" w:hRule="atLeast"/>
        </w:trPr>
        <w:tc>
          <w:tcPr>
            <w:tcW w:w="53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0"/>
              </w:numPr>
              <w:ind w:left="0" w:hanging="0"/>
              <w:rPr>
                <w:sz w:val="20"/>
                <w:szCs w:val="20"/>
              </w:rPr>
            </w:pPr>
            <w:r>
              <w:rPr>
                <w:sz w:val="20"/>
                <w:szCs w:val="20"/>
              </w:rPr>
            </w:r>
          </w:p>
        </w:tc>
        <w:tc>
          <w:tcPr>
            <w:tcW w:w="495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20"/>
                <w:szCs w:val="20"/>
              </w:rPr>
            </w:pPr>
            <w:r>
              <w:rPr>
                <w:sz w:val="20"/>
                <w:szCs w:val="20"/>
              </w:rPr>
              <w:t>Оказание услуг по аттестации 1 объекта информатизации (1 АРМ, класс защищенности «К3»)</w:t>
            </w:r>
          </w:p>
        </w:tc>
        <w:tc>
          <w:tcPr>
            <w:tcW w:w="17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 АРМ/0 серверов</w:t>
            </w:r>
          </w:p>
        </w:tc>
        <w:tc>
          <w:tcPr>
            <w:tcW w:w="2720"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Сертифицированная по требованиям ФСТЭК России операционная система A</w:t>
            </w:r>
            <w:r>
              <w:rPr>
                <w:sz w:val="20"/>
                <w:szCs w:val="20"/>
                <w:lang w:val="en-US"/>
              </w:rPr>
              <w:t>stra</w:t>
            </w:r>
            <w:r>
              <w:rPr>
                <w:sz w:val="20"/>
                <w:szCs w:val="20"/>
              </w:rPr>
              <w:t xml:space="preserve"> </w:t>
            </w:r>
            <w:r>
              <w:rPr>
                <w:sz w:val="20"/>
                <w:szCs w:val="20"/>
                <w:lang w:val="en-US"/>
              </w:rPr>
              <w:t>Linux</w:t>
            </w:r>
            <w:r>
              <w:rPr>
                <w:sz w:val="20"/>
                <w:szCs w:val="20"/>
              </w:rPr>
              <w:t xml:space="preserve"> </w:t>
            </w:r>
            <w:r>
              <w:rPr>
                <w:sz w:val="20"/>
                <w:szCs w:val="20"/>
                <w:lang w:val="en-US"/>
              </w:rPr>
              <w:t>SE</w:t>
            </w:r>
          </w:p>
        </w:tc>
      </w:tr>
    </w:tbl>
    <w:p>
      <w:pPr>
        <w:pStyle w:val="ListParagraph"/>
        <w:ind w:left="709" w:hanging="0"/>
        <w:rPr>
          <w:sz w:val="24"/>
        </w:rPr>
      </w:pPr>
      <w:r>
        <w:rPr>
          <w:sz w:val="24"/>
        </w:rPr>
      </w:r>
    </w:p>
    <w:p>
      <w:pPr>
        <w:pStyle w:val="ListParagraph"/>
        <w:numPr>
          <w:ilvl w:val="0"/>
          <w:numId w:val="6"/>
        </w:numPr>
        <w:ind w:left="0" w:firstLine="709"/>
        <w:rPr>
          <w:sz w:val="24"/>
        </w:rPr>
      </w:pPr>
      <w:r>
        <w:rPr>
          <w:sz w:val="24"/>
        </w:rPr>
        <w:t>Состав средств защиты информации, планируемых к использованию в ИС</w:t>
      </w:r>
    </w:p>
    <w:p>
      <w:pPr>
        <w:pStyle w:val="ListParagraph"/>
        <w:tabs>
          <w:tab w:val="clear" w:pos="708"/>
          <w:tab w:val="left" w:pos="1985" w:leader="none"/>
        </w:tabs>
        <w:ind w:left="0" w:right="-47" w:firstLine="709"/>
        <w:jc w:val="both"/>
        <w:rPr>
          <w:sz w:val="24"/>
        </w:rPr>
      </w:pPr>
      <w:r>
        <w:rPr>
          <w:sz w:val="24"/>
        </w:rPr>
        <w:t>Состав средств защиты информации, планируемых к использованию в ИС, приведен в Таблице 2.</w:t>
      </w:r>
    </w:p>
    <w:p>
      <w:pPr>
        <w:pStyle w:val="ListParagraph"/>
        <w:keepNext w:val="true"/>
        <w:ind w:left="540" w:right="-2" w:hanging="0"/>
        <w:jc w:val="right"/>
        <w:rPr>
          <w:sz w:val="24"/>
        </w:rPr>
      </w:pPr>
      <w:r>
        <w:rPr>
          <w:sz w:val="24"/>
        </w:rPr>
        <w:t>Таблица 2</w:t>
      </w:r>
    </w:p>
    <w:tbl>
      <w:tblPr>
        <w:tblW w:w="5000" w:type="pct"/>
        <w:jc w:val="center"/>
        <w:tblInd w:w="0" w:type="dxa"/>
        <w:tblLayout w:type="fixed"/>
        <w:tblCellMar>
          <w:top w:w="0" w:type="dxa"/>
          <w:left w:w="57" w:type="dxa"/>
          <w:bottom w:w="0" w:type="dxa"/>
          <w:right w:w="57" w:type="dxa"/>
        </w:tblCellMar>
        <w:tblLook w:val="04a0" w:noHBand="0" w:noVBand="1" w:firstColumn="1" w:lastRow="0" w:lastColumn="0" w:firstRow="1"/>
      </w:tblPr>
      <w:tblGrid>
        <w:gridCol w:w="563"/>
        <w:gridCol w:w="9357"/>
      </w:tblGrid>
      <w:tr>
        <w:trPr>
          <w:tblHeader w:val="true"/>
          <w:trHeight w:val="20" w:hRule="atLeast"/>
          <w:cantSplit w:val="true"/>
        </w:trPr>
        <w:tc>
          <w:tcPr>
            <w:tcW w:w="563"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numPr>
                <w:ilvl w:val="0"/>
                <w:numId w:val="0"/>
              </w:numPr>
              <w:spacing w:before="0" w:after="0"/>
              <w:ind w:left="0" w:hanging="0"/>
              <w:contextualSpacing/>
              <w:rPr>
                <w:b/>
                <w:bCs/>
                <w:sz w:val="20"/>
                <w:szCs w:val="20"/>
                <w:lang w:eastAsia="ru-RU"/>
              </w:rPr>
            </w:pPr>
            <w:r>
              <w:rPr>
                <w:b/>
                <w:bCs/>
                <w:sz w:val="20"/>
                <w:szCs w:val="20"/>
                <w:lang w:eastAsia="ru-RU"/>
              </w:rPr>
              <w:t xml:space="preserve">№ </w:t>
            </w:r>
            <w:r>
              <w:rPr>
                <w:b/>
                <w:bCs/>
                <w:sz w:val="20"/>
                <w:szCs w:val="20"/>
                <w:lang w:eastAsia="ru-RU"/>
              </w:rPr>
              <w:t>п/п</w:t>
            </w:r>
          </w:p>
        </w:tc>
        <w:tc>
          <w:tcPr>
            <w:tcW w:w="93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0"/>
              <w:widowControl w:val="false"/>
              <w:spacing w:before="0" w:after="0"/>
              <w:contextualSpacing/>
              <w:rPr>
                <w:b/>
                <w:bCs/>
                <w:sz w:val="20"/>
                <w:szCs w:val="20"/>
                <w:lang w:eastAsia="ru-RU"/>
              </w:rPr>
            </w:pPr>
            <w:r>
              <w:rPr>
                <w:b/>
                <w:bCs/>
                <w:sz w:val="20"/>
                <w:szCs w:val="20"/>
                <w:lang w:eastAsia="ru-RU"/>
              </w:rPr>
              <w:t>Наименование и тип средства защиты информации</w:t>
            </w:r>
          </w:p>
        </w:tc>
      </w:tr>
      <w:tr>
        <w:trPr>
          <w:trHeight w:val="20" w:hRule="atLeast"/>
          <w:cantSplit w:val="true"/>
        </w:trPr>
        <w:tc>
          <w:tcPr>
            <w:tcW w:w="563" w:type="dxa"/>
            <w:tcBorders>
              <w:top w:val="single" w:sz="4" w:space="0" w:color="000000"/>
              <w:left w:val="single" w:sz="4" w:space="0" w:color="000000"/>
              <w:bottom w:val="single" w:sz="4" w:space="0" w:color="000000"/>
              <w:right w:val="single" w:sz="4" w:space="0" w:color="000000"/>
            </w:tcBorders>
          </w:tcPr>
          <w:p>
            <w:pPr>
              <w:pStyle w:val="Style21"/>
              <w:widowControl w:val="false"/>
              <w:numPr>
                <w:ilvl w:val="0"/>
                <w:numId w:val="11"/>
              </w:numPr>
              <w:spacing w:before="0" w:after="0"/>
              <w:contextualSpacing/>
              <w:jc w:val="left"/>
              <w:rPr>
                <w:sz w:val="20"/>
                <w:szCs w:val="20"/>
                <w:lang w:eastAsia="ru-RU"/>
              </w:rPr>
            </w:pPr>
            <w:r>
              <w:rPr>
                <w:sz w:val="20"/>
                <w:szCs w:val="20"/>
                <w:lang w:eastAsia="ru-RU"/>
              </w:rPr>
            </w:r>
          </w:p>
        </w:tc>
        <w:tc>
          <w:tcPr>
            <w:tcW w:w="9357" w:type="dxa"/>
            <w:tcBorders>
              <w:top w:val="single" w:sz="4" w:space="0" w:color="000000"/>
              <w:left w:val="single" w:sz="4" w:space="0" w:color="000000"/>
              <w:bottom w:val="single" w:sz="4" w:space="0" w:color="000000"/>
              <w:right w:val="single" w:sz="4" w:space="0" w:color="000000"/>
            </w:tcBorders>
            <w:shd w:color="auto" w:fill="auto" w:val="clear"/>
          </w:tcPr>
          <w:p>
            <w:pPr>
              <w:pStyle w:val="Style20"/>
              <w:widowControl w:val="false"/>
              <w:spacing w:before="0" w:after="0"/>
              <w:contextualSpacing/>
              <w:jc w:val="left"/>
              <w:rPr>
                <w:sz w:val="20"/>
                <w:szCs w:val="20"/>
                <w:lang w:eastAsia="ru-RU"/>
              </w:rPr>
            </w:pPr>
            <w:r>
              <w:rPr>
                <w:sz w:val="20"/>
                <w:szCs w:val="20"/>
                <w:lang w:eastAsia="ru-RU"/>
              </w:rPr>
              <w:t>Операционная система специального назначения «Astra Linux Special Edition»</w:t>
              <w:br/>
              <w:br/>
              <w:t>(сертифицированная по требованиям ФСТЭК России операционная система)</w:t>
            </w:r>
          </w:p>
        </w:tc>
      </w:tr>
      <w:tr>
        <w:trPr>
          <w:trHeight w:val="20" w:hRule="atLeast"/>
          <w:cantSplit w:val="true"/>
        </w:trPr>
        <w:tc>
          <w:tcPr>
            <w:tcW w:w="563" w:type="dxa"/>
            <w:tcBorders>
              <w:top w:val="single" w:sz="4" w:space="0" w:color="000000"/>
              <w:left w:val="single" w:sz="4" w:space="0" w:color="000000"/>
              <w:bottom w:val="single" w:sz="4" w:space="0" w:color="000000"/>
              <w:right w:val="single" w:sz="4" w:space="0" w:color="000000"/>
            </w:tcBorders>
          </w:tcPr>
          <w:p>
            <w:pPr>
              <w:pStyle w:val="Style21"/>
              <w:widowControl w:val="false"/>
              <w:numPr>
                <w:ilvl w:val="0"/>
                <w:numId w:val="11"/>
              </w:numPr>
              <w:spacing w:before="0" w:after="0"/>
              <w:contextualSpacing/>
              <w:jc w:val="left"/>
              <w:rPr>
                <w:sz w:val="20"/>
                <w:szCs w:val="20"/>
                <w:lang w:eastAsia="ru-RU"/>
              </w:rPr>
            </w:pPr>
            <w:r>
              <w:rPr>
                <w:sz w:val="20"/>
                <w:szCs w:val="20"/>
                <w:lang w:eastAsia="ru-RU"/>
              </w:rPr>
            </w:r>
          </w:p>
        </w:tc>
        <w:tc>
          <w:tcPr>
            <w:tcW w:w="9357" w:type="dxa"/>
            <w:tcBorders>
              <w:top w:val="single" w:sz="4" w:space="0" w:color="000000"/>
              <w:left w:val="single" w:sz="4" w:space="0" w:color="000000"/>
              <w:bottom w:val="single" w:sz="4" w:space="0" w:color="000000"/>
              <w:right w:val="single" w:sz="4" w:space="0" w:color="000000"/>
            </w:tcBorders>
            <w:shd w:color="auto" w:fill="auto" w:val="clear"/>
          </w:tcPr>
          <w:p>
            <w:pPr>
              <w:pStyle w:val="Style20"/>
              <w:widowControl w:val="false"/>
              <w:spacing w:before="0" w:after="0"/>
              <w:contextualSpacing/>
              <w:jc w:val="left"/>
              <w:rPr>
                <w:sz w:val="20"/>
                <w:szCs w:val="20"/>
                <w:lang w:eastAsia="ru-RU"/>
              </w:rPr>
            </w:pPr>
            <w:r>
              <w:rPr>
                <w:sz w:val="20"/>
                <w:szCs w:val="20"/>
                <w:lang w:eastAsia="ru-RU"/>
              </w:rPr>
              <w:t xml:space="preserve">Программное изделие </w:t>
            </w:r>
            <w:r>
              <w:rPr>
                <w:sz w:val="20"/>
                <w:szCs w:val="20"/>
                <w:lang w:val="en-US" w:eastAsia="ru-RU"/>
              </w:rPr>
              <w:t>Kaspersky</w:t>
            </w:r>
            <w:r>
              <w:rPr>
                <w:sz w:val="20"/>
                <w:szCs w:val="20"/>
                <w:lang w:eastAsia="ru-RU"/>
              </w:rPr>
              <w:t xml:space="preserve"> </w:t>
            </w:r>
            <w:r>
              <w:rPr>
                <w:sz w:val="20"/>
                <w:szCs w:val="20"/>
                <w:lang w:val="en-US" w:eastAsia="ru-RU"/>
              </w:rPr>
              <w:t>Endpoint</w:t>
            </w:r>
            <w:r>
              <w:rPr>
                <w:sz w:val="20"/>
                <w:szCs w:val="20"/>
                <w:lang w:eastAsia="ru-RU"/>
              </w:rPr>
              <w:t xml:space="preserve"> </w:t>
            </w:r>
            <w:r>
              <w:rPr>
                <w:sz w:val="20"/>
                <w:szCs w:val="20"/>
                <w:lang w:val="en-US" w:eastAsia="ru-RU"/>
              </w:rPr>
              <w:t>Security</w:t>
            </w:r>
            <w:r>
              <w:rPr>
                <w:sz w:val="20"/>
                <w:szCs w:val="20"/>
                <w:lang w:eastAsia="ru-RU"/>
              </w:rPr>
              <w:t xml:space="preserve"> для </w:t>
            </w:r>
            <w:r>
              <w:rPr>
                <w:sz w:val="20"/>
                <w:szCs w:val="20"/>
                <w:lang w:val="en-US" w:eastAsia="ru-RU"/>
              </w:rPr>
              <w:t>Linux</w:t>
            </w:r>
            <w:r>
              <w:rPr>
                <w:sz w:val="20"/>
                <w:szCs w:val="20"/>
                <w:lang w:eastAsia="ru-RU"/>
              </w:rPr>
              <w:br/>
              <w:br/>
              <w:t>(средство антивирусной защиты)</w:t>
            </w:r>
          </w:p>
        </w:tc>
      </w:tr>
      <w:tr>
        <w:trPr>
          <w:trHeight w:val="20" w:hRule="atLeast"/>
          <w:cantSplit w:val="true"/>
        </w:trPr>
        <w:tc>
          <w:tcPr>
            <w:tcW w:w="563" w:type="dxa"/>
            <w:tcBorders>
              <w:top w:val="single" w:sz="4" w:space="0" w:color="000000"/>
              <w:left w:val="single" w:sz="4" w:space="0" w:color="000000"/>
              <w:bottom w:val="single" w:sz="4" w:space="0" w:color="000000"/>
              <w:right w:val="single" w:sz="4" w:space="0" w:color="000000"/>
            </w:tcBorders>
          </w:tcPr>
          <w:p>
            <w:pPr>
              <w:pStyle w:val="Style21"/>
              <w:widowControl w:val="false"/>
              <w:numPr>
                <w:ilvl w:val="0"/>
                <w:numId w:val="11"/>
              </w:numPr>
              <w:spacing w:before="0" w:after="0"/>
              <w:contextualSpacing/>
              <w:jc w:val="left"/>
              <w:rPr>
                <w:sz w:val="20"/>
                <w:szCs w:val="20"/>
                <w:lang w:eastAsia="ru-RU"/>
              </w:rPr>
            </w:pPr>
            <w:r>
              <w:rPr>
                <w:sz w:val="20"/>
                <w:szCs w:val="20"/>
                <w:lang w:eastAsia="ru-RU"/>
              </w:rPr>
            </w:r>
          </w:p>
        </w:tc>
        <w:tc>
          <w:tcPr>
            <w:tcW w:w="9357" w:type="dxa"/>
            <w:tcBorders>
              <w:top w:val="single" w:sz="4" w:space="0" w:color="000000"/>
              <w:left w:val="single" w:sz="4" w:space="0" w:color="000000"/>
              <w:bottom w:val="single" w:sz="4" w:space="0" w:color="000000"/>
              <w:right w:val="single" w:sz="4" w:space="0" w:color="000000"/>
            </w:tcBorders>
            <w:shd w:color="auto" w:fill="auto" w:val="clear"/>
          </w:tcPr>
          <w:p>
            <w:pPr>
              <w:pStyle w:val="Style20"/>
              <w:widowControl w:val="false"/>
              <w:spacing w:before="0" w:after="0"/>
              <w:contextualSpacing/>
              <w:jc w:val="left"/>
              <w:rPr>
                <w:sz w:val="20"/>
                <w:szCs w:val="20"/>
                <w:lang w:eastAsia="ru-RU"/>
              </w:rPr>
            </w:pPr>
            <w:r>
              <w:rPr>
                <w:sz w:val="20"/>
                <w:szCs w:val="20"/>
                <w:lang w:eastAsia="ru-RU"/>
              </w:rPr>
              <w:t>Изделие ViPNet EndPoint Protection</w:t>
            </w:r>
          </w:p>
          <w:p>
            <w:pPr>
              <w:pStyle w:val="Style20"/>
              <w:widowControl w:val="false"/>
              <w:spacing w:before="0" w:after="0"/>
              <w:contextualSpacing/>
              <w:jc w:val="left"/>
              <w:rPr>
                <w:sz w:val="20"/>
                <w:szCs w:val="20"/>
                <w:lang w:eastAsia="ru-RU"/>
              </w:rPr>
            </w:pPr>
            <w:r>
              <w:rPr>
                <w:sz w:val="20"/>
                <w:szCs w:val="20"/>
                <w:lang w:eastAsia="ru-RU"/>
              </w:rPr>
            </w:r>
          </w:p>
          <w:p>
            <w:pPr>
              <w:pStyle w:val="Style20"/>
              <w:widowControl w:val="false"/>
              <w:spacing w:before="0" w:after="0"/>
              <w:contextualSpacing/>
              <w:jc w:val="left"/>
              <w:rPr>
                <w:sz w:val="20"/>
                <w:szCs w:val="20"/>
                <w:lang w:eastAsia="ru-RU"/>
              </w:rPr>
            </w:pPr>
            <w:r>
              <w:rPr>
                <w:sz w:val="20"/>
                <w:szCs w:val="20"/>
                <w:lang w:eastAsia="ru-RU"/>
              </w:rPr>
              <w:t>(средство межсетевого экранирования, средство обнаружения и предотвращения вторжений)</w:t>
            </w:r>
          </w:p>
        </w:tc>
      </w:tr>
      <w:tr>
        <w:trPr>
          <w:trHeight w:val="20" w:hRule="atLeast"/>
          <w:cantSplit w:val="true"/>
        </w:trPr>
        <w:tc>
          <w:tcPr>
            <w:tcW w:w="563" w:type="dxa"/>
            <w:tcBorders>
              <w:top w:val="single" w:sz="4" w:space="0" w:color="000000"/>
              <w:left w:val="single" w:sz="4" w:space="0" w:color="000000"/>
              <w:bottom w:val="single" w:sz="4" w:space="0" w:color="000000"/>
              <w:right w:val="single" w:sz="4" w:space="0" w:color="000000"/>
            </w:tcBorders>
          </w:tcPr>
          <w:p>
            <w:pPr>
              <w:pStyle w:val="Style21"/>
              <w:widowControl w:val="false"/>
              <w:numPr>
                <w:ilvl w:val="0"/>
                <w:numId w:val="11"/>
              </w:numPr>
              <w:spacing w:before="0" w:after="0"/>
              <w:contextualSpacing/>
              <w:jc w:val="left"/>
              <w:rPr>
                <w:sz w:val="20"/>
                <w:szCs w:val="20"/>
                <w:lang w:eastAsia="ru-RU"/>
              </w:rPr>
            </w:pPr>
            <w:r>
              <w:rPr>
                <w:sz w:val="20"/>
                <w:szCs w:val="20"/>
                <w:lang w:eastAsia="ru-RU"/>
              </w:rPr>
            </w:r>
          </w:p>
        </w:tc>
        <w:tc>
          <w:tcPr>
            <w:tcW w:w="9357" w:type="dxa"/>
            <w:tcBorders>
              <w:top w:val="single" w:sz="4" w:space="0" w:color="000000"/>
              <w:left w:val="single" w:sz="4" w:space="0" w:color="000000"/>
              <w:bottom w:val="single" w:sz="4" w:space="0" w:color="000000"/>
              <w:right w:val="single" w:sz="4" w:space="0" w:color="000000"/>
            </w:tcBorders>
            <w:shd w:color="auto" w:fill="auto" w:val="clear"/>
          </w:tcPr>
          <w:p>
            <w:pPr>
              <w:pStyle w:val="Style20"/>
              <w:widowControl w:val="false"/>
              <w:spacing w:before="0" w:after="0"/>
              <w:contextualSpacing/>
              <w:jc w:val="left"/>
              <w:rPr>
                <w:sz w:val="20"/>
                <w:szCs w:val="20"/>
                <w:lang w:eastAsia="ru-RU"/>
              </w:rPr>
            </w:pPr>
            <w:r>
              <w:rPr>
                <w:sz w:val="20"/>
                <w:szCs w:val="20"/>
                <w:lang w:eastAsia="ru-RU"/>
              </w:rPr>
              <w:t>Программный комплекс ViPNet Client 5 for Linux</w:t>
              <w:br/>
              <w:br/>
              <w:t>(Средство криптографической защиты информации)</w:t>
            </w:r>
          </w:p>
        </w:tc>
      </w:tr>
      <w:tr>
        <w:trPr>
          <w:trHeight w:val="20" w:hRule="atLeast"/>
          <w:cantSplit w:val="true"/>
        </w:trPr>
        <w:tc>
          <w:tcPr>
            <w:tcW w:w="563" w:type="dxa"/>
            <w:tcBorders>
              <w:top w:val="single" w:sz="4" w:space="0" w:color="000000"/>
              <w:left w:val="single" w:sz="4" w:space="0" w:color="000000"/>
              <w:bottom w:val="single" w:sz="4" w:space="0" w:color="000000"/>
              <w:right w:val="single" w:sz="4" w:space="0" w:color="000000"/>
            </w:tcBorders>
          </w:tcPr>
          <w:p>
            <w:pPr>
              <w:pStyle w:val="Style21"/>
              <w:widowControl w:val="false"/>
              <w:numPr>
                <w:ilvl w:val="0"/>
                <w:numId w:val="11"/>
              </w:numPr>
              <w:spacing w:before="0" w:after="0"/>
              <w:contextualSpacing/>
              <w:jc w:val="left"/>
              <w:rPr>
                <w:sz w:val="20"/>
                <w:szCs w:val="20"/>
                <w:lang w:eastAsia="ru-RU"/>
              </w:rPr>
            </w:pPr>
            <w:r>
              <w:rPr>
                <w:sz w:val="20"/>
                <w:szCs w:val="20"/>
                <w:lang w:eastAsia="ru-RU"/>
              </w:rPr>
            </w:r>
          </w:p>
        </w:tc>
        <w:tc>
          <w:tcPr>
            <w:tcW w:w="9357" w:type="dxa"/>
            <w:tcBorders>
              <w:top w:val="single" w:sz="4" w:space="0" w:color="000000"/>
              <w:left w:val="single" w:sz="4" w:space="0" w:color="000000"/>
              <w:bottom w:val="single" w:sz="4" w:space="0" w:color="000000"/>
              <w:right w:val="single" w:sz="4" w:space="0" w:color="000000"/>
            </w:tcBorders>
            <w:shd w:color="auto" w:fill="auto" w:val="clear"/>
          </w:tcPr>
          <w:p>
            <w:pPr>
              <w:pStyle w:val="Style20"/>
              <w:widowControl w:val="false"/>
              <w:spacing w:before="0" w:after="0"/>
              <w:contextualSpacing/>
              <w:jc w:val="left"/>
              <w:rPr>
                <w:sz w:val="20"/>
                <w:szCs w:val="20"/>
                <w:lang w:eastAsia="ru-RU"/>
              </w:rPr>
            </w:pPr>
            <w:r>
              <w:rPr>
                <w:sz w:val="20"/>
                <w:szCs w:val="20"/>
                <w:lang w:eastAsia="ru-RU"/>
              </w:rPr>
              <w:t>Идентификатор JaCarta-3</w:t>
            </w:r>
          </w:p>
          <w:p>
            <w:pPr>
              <w:pStyle w:val="Style20"/>
              <w:widowControl w:val="false"/>
              <w:spacing w:before="0" w:after="0"/>
              <w:contextualSpacing/>
              <w:jc w:val="left"/>
              <w:rPr>
                <w:sz w:val="20"/>
                <w:szCs w:val="20"/>
                <w:lang w:eastAsia="ru-RU"/>
              </w:rPr>
            </w:pPr>
            <w:r>
              <w:rPr>
                <w:sz w:val="20"/>
                <w:szCs w:val="20"/>
                <w:lang w:eastAsia="ru-RU"/>
              </w:rPr>
            </w:r>
          </w:p>
          <w:p>
            <w:pPr>
              <w:pStyle w:val="Style20"/>
              <w:widowControl w:val="false"/>
              <w:spacing w:before="0" w:after="0"/>
              <w:contextualSpacing/>
              <w:jc w:val="left"/>
              <w:rPr>
                <w:sz w:val="20"/>
                <w:szCs w:val="20"/>
                <w:lang w:val="en-US" w:eastAsia="ru-RU"/>
              </w:rPr>
            </w:pPr>
            <w:r>
              <w:rPr>
                <w:sz w:val="20"/>
                <w:szCs w:val="20"/>
                <w:lang w:eastAsia="ru-RU"/>
              </w:rPr>
              <w:t>(средство обеспечения двухфакторной аутентификации)</w:t>
            </w:r>
          </w:p>
        </w:tc>
      </w:tr>
      <w:tr>
        <w:trPr>
          <w:trHeight w:val="20" w:hRule="atLeast"/>
          <w:cantSplit w:val="true"/>
        </w:trPr>
        <w:tc>
          <w:tcPr>
            <w:tcW w:w="563" w:type="dxa"/>
            <w:tcBorders>
              <w:top w:val="single" w:sz="4" w:space="0" w:color="000000"/>
              <w:left w:val="single" w:sz="4" w:space="0" w:color="000000"/>
              <w:bottom w:val="single" w:sz="4" w:space="0" w:color="000000"/>
              <w:right w:val="single" w:sz="4" w:space="0" w:color="000000"/>
            </w:tcBorders>
          </w:tcPr>
          <w:p>
            <w:pPr>
              <w:pStyle w:val="Style21"/>
              <w:widowControl w:val="false"/>
              <w:numPr>
                <w:ilvl w:val="0"/>
                <w:numId w:val="11"/>
              </w:numPr>
              <w:spacing w:before="0" w:after="0"/>
              <w:contextualSpacing/>
              <w:jc w:val="left"/>
              <w:rPr>
                <w:sz w:val="20"/>
                <w:szCs w:val="20"/>
                <w:lang w:eastAsia="ru-RU"/>
              </w:rPr>
            </w:pPr>
            <w:r>
              <w:rPr>
                <w:sz w:val="20"/>
                <w:szCs w:val="20"/>
                <w:lang w:eastAsia="ru-RU"/>
              </w:rPr>
            </w:r>
          </w:p>
        </w:tc>
        <w:tc>
          <w:tcPr>
            <w:tcW w:w="9357" w:type="dxa"/>
            <w:tcBorders>
              <w:top w:val="single" w:sz="4" w:space="0" w:color="000000"/>
              <w:left w:val="single" w:sz="4" w:space="0" w:color="000000"/>
              <w:bottom w:val="single" w:sz="4" w:space="0" w:color="000000"/>
              <w:right w:val="single" w:sz="4" w:space="0" w:color="000000"/>
            </w:tcBorders>
            <w:shd w:color="auto" w:fill="auto" w:val="clear"/>
          </w:tcPr>
          <w:p>
            <w:pPr>
              <w:pStyle w:val="Style20"/>
              <w:widowControl w:val="false"/>
              <w:spacing w:before="0" w:after="0"/>
              <w:contextualSpacing/>
              <w:jc w:val="left"/>
              <w:rPr>
                <w:sz w:val="20"/>
                <w:szCs w:val="20"/>
                <w:lang w:eastAsia="ru-RU"/>
              </w:rPr>
            </w:pPr>
            <w:r>
              <w:rPr>
                <w:sz w:val="20"/>
                <w:szCs w:val="20"/>
                <w:lang w:eastAsia="ru-RU"/>
              </w:rPr>
              <w:t>Программный комплекс «Средство анализа защищенности «Сканер-ВС»</w:t>
              <w:br/>
              <w:br/>
              <w:t>(средство анализа и контроля защищенности информации)</w:t>
            </w:r>
          </w:p>
        </w:tc>
      </w:tr>
    </w:tbl>
    <w:p>
      <w:pPr>
        <w:pStyle w:val="Normal"/>
        <w:tabs>
          <w:tab w:val="clear" w:pos="708"/>
          <w:tab w:val="left" w:pos="1276" w:leader="none"/>
        </w:tabs>
        <w:spacing w:before="0" w:after="0"/>
        <w:ind w:firstLine="708"/>
        <w:contextualSpacing/>
        <w:rPr>
          <w:sz w:val="24"/>
        </w:rPr>
      </w:pPr>
      <w:r>
        <w:rPr>
          <w:sz w:val="24"/>
        </w:rPr>
      </w:r>
    </w:p>
    <w:p>
      <w:pPr>
        <w:pStyle w:val="Normal"/>
        <w:tabs>
          <w:tab w:val="clear" w:pos="708"/>
          <w:tab w:val="left" w:pos="1276" w:leader="none"/>
        </w:tabs>
        <w:spacing w:before="0" w:after="0"/>
        <w:ind w:firstLine="708"/>
        <w:contextualSpacing/>
        <w:rPr>
          <w:sz w:val="24"/>
        </w:rPr>
      </w:pPr>
      <w:r>
        <w:rPr>
          <w:sz w:val="24"/>
        </w:rPr>
        <w:t>В ИС используются только сертифицированные по требованиям ФСТЭК России программные продукты.</w:t>
      </w:r>
    </w:p>
    <w:p>
      <w:pPr>
        <w:pStyle w:val="Normal"/>
        <w:tabs>
          <w:tab w:val="clear" w:pos="708"/>
          <w:tab w:val="left" w:pos="1276" w:leader="none"/>
        </w:tabs>
        <w:spacing w:before="0" w:after="0"/>
        <w:ind w:firstLine="708"/>
        <w:contextualSpacing/>
        <w:rPr>
          <w:sz w:val="24"/>
        </w:rPr>
      </w:pPr>
      <w:r>
        <w:rPr>
          <w:sz w:val="24"/>
        </w:rPr>
      </w:r>
    </w:p>
    <w:p>
      <w:pPr>
        <w:pStyle w:val="Normal"/>
        <w:tabs>
          <w:tab w:val="clear" w:pos="708"/>
          <w:tab w:val="left" w:pos="1276" w:leader="none"/>
        </w:tabs>
        <w:spacing w:before="0" w:after="0"/>
        <w:ind w:firstLine="708"/>
        <w:contextualSpacing/>
        <w:rPr>
          <w:sz w:val="24"/>
        </w:rPr>
      </w:pPr>
      <w:r>
        <w:rPr>
          <w:sz w:val="24"/>
        </w:rPr>
      </w:r>
    </w:p>
    <w:p>
      <w:pPr>
        <w:pStyle w:val="ListParagraph"/>
        <w:numPr>
          <w:ilvl w:val="0"/>
          <w:numId w:val="6"/>
        </w:numPr>
        <w:tabs>
          <w:tab w:val="clear" w:pos="708"/>
          <w:tab w:val="left" w:pos="1276" w:leader="none"/>
        </w:tabs>
        <w:ind w:left="0" w:right="-47" w:firstLine="709"/>
        <w:jc w:val="both"/>
        <w:rPr>
          <w:sz w:val="24"/>
        </w:rPr>
      </w:pPr>
      <w:r>
        <w:rPr>
          <w:sz w:val="24"/>
        </w:rPr>
        <w:t>Содержание услуг</w:t>
      </w:r>
    </w:p>
    <w:p>
      <w:pPr>
        <w:pStyle w:val="ListParagraph"/>
        <w:tabs>
          <w:tab w:val="clear" w:pos="708"/>
          <w:tab w:val="left" w:pos="1276" w:leader="none"/>
        </w:tabs>
        <w:ind w:left="0" w:right="-2" w:firstLine="709"/>
        <w:jc w:val="both"/>
        <w:rPr>
          <w:sz w:val="24"/>
        </w:rPr>
      </w:pPr>
      <w:r>
        <w:rPr>
          <w:sz w:val="24"/>
        </w:rPr>
        <w:t>Услуги в сфере информационной безопасности, в соответствии с требованиями законодательства Российской Федерации, включают в себя услуги, приведенные в таблице 3.</w:t>
      </w:r>
    </w:p>
    <w:p>
      <w:pPr>
        <w:pStyle w:val="Normal"/>
        <w:tabs>
          <w:tab w:val="clear" w:pos="708"/>
          <w:tab w:val="left" w:pos="1418" w:leader="none"/>
        </w:tabs>
        <w:spacing w:before="0" w:after="0"/>
        <w:ind w:firstLine="709"/>
        <w:contextualSpacing/>
        <w:jc w:val="right"/>
        <w:rPr>
          <w:sz w:val="24"/>
        </w:rPr>
      </w:pPr>
      <w:r>
        <w:rPr>
          <w:sz w:val="24"/>
        </w:rPr>
        <w:t>Таблица 3</w:t>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4"/>
        <w:gridCol w:w="4961"/>
        <w:gridCol w:w="1130"/>
        <w:gridCol w:w="709"/>
        <w:gridCol w:w="2414"/>
      </w:tblGrid>
      <w:tr>
        <w:trPr>
          <w:tblHeader w:val="true"/>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szCs w:val="20"/>
              </w:rPr>
            </w:pPr>
            <w:r>
              <w:rPr>
                <w:b/>
                <w:color w:val="000000"/>
                <w:sz w:val="20"/>
                <w:szCs w:val="20"/>
              </w:rPr>
              <w:t xml:space="preserve">№ </w:t>
            </w:r>
            <w:r>
              <w:rPr>
                <w:b/>
                <w:color w:val="000000"/>
                <w:sz w:val="20"/>
                <w:szCs w:val="20"/>
              </w:rPr>
              <w:t>п/п</w:t>
            </w:r>
          </w:p>
        </w:tc>
        <w:tc>
          <w:tcPr>
            <w:tcW w:w="4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szCs w:val="20"/>
              </w:rPr>
            </w:pPr>
            <w:r>
              <w:rPr>
                <w:b/>
                <w:color w:val="000000"/>
                <w:sz w:val="20"/>
                <w:szCs w:val="20"/>
              </w:rPr>
              <w:t>Наименование услуг</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000000"/>
                <w:sz w:val="20"/>
                <w:szCs w:val="20"/>
              </w:rPr>
            </w:pPr>
            <w:r>
              <w:rPr>
                <w:b/>
                <w:color w:val="000000"/>
                <w:sz w:val="20"/>
                <w:szCs w:val="20"/>
              </w:rPr>
              <w:t>Ед. изм.</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szCs w:val="20"/>
              </w:rPr>
            </w:pPr>
            <w:r>
              <w:rPr>
                <w:b/>
                <w:color w:val="000000"/>
                <w:sz w:val="20"/>
                <w:szCs w:val="20"/>
              </w:rPr>
              <w:t>Кол-во</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000000"/>
                <w:sz w:val="20"/>
                <w:szCs w:val="20"/>
              </w:rPr>
            </w:pPr>
            <w:r>
              <w:rPr>
                <w:b/>
                <w:color w:val="000000"/>
                <w:sz w:val="20"/>
                <w:szCs w:val="20"/>
              </w:rPr>
              <w:t>Предполагаемый класс защищённости ИС</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5"/>
              </w:numPr>
              <w:ind w:left="0" w:hanging="0"/>
              <w:rPr>
                <w:color w:val="000000"/>
                <w:sz w:val="20"/>
                <w:szCs w:val="20"/>
              </w:rPr>
            </w:pPr>
            <w:r>
              <w:rPr>
                <w:color w:val="000000"/>
                <w:sz w:val="20"/>
                <w:szCs w:val="20"/>
              </w:rPr>
            </w:r>
          </w:p>
        </w:tc>
        <w:tc>
          <w:tcPr>
            <w:tcW w:w="680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color w:val="000000"/>
                <w:sz w:val="20"/>
                <w:szCs w:val="20"/>
              </w:rPr>
            </w:pPr>
            <w:r>
              <w:rPr>
                <w:bCs/>
                <w:color w:val="000000"/>
                <w:sz w:val="20"/>
                <w:szCs w:val="20"/>
              </w:rPr>
              <w:t>Оказание услуг по аттестации 1 объекта информатизации (1 АРМ, класс защищенности «К3»), включая след. виды работ:</w:t>
            </w:r>
          </w:p>
        </w:tc>
        <w:tc>
          <w:tcPr>
            <w:tcW w:w="24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0"/>
                <w:szCs w:val="20"/>
              </w:rPr>
            </w:pPr>
            <w:r>
              <w:rPr>
                <w:bCs/>
                <w:color w:val="000000"/>
                <w:sz w:val="20"/>
                <w:szCs w:val="20"/>
              </w:rPr>
              <w:t>К3</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аналитического обоснования требований по обеспечению безопасности информации и формулированию задач защиты информации</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технического задания системы защиты информации и технического проекта на систему защиты информации</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модели угроз безопасности информации и модели нарушителя информационной системы</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комплекта организационно-распорядительной документации</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Настройка средств защиты информации, имеющихся у заказчика</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lang w:val="en-US"/>
              </w:rPr>
            </w:pPr>
            <w:r>
              <w:rPr>
                <w:sz w:val="20"/>
                <w:szCs w:val="20"/>
              </w:rPr>
              <w:t>1</w:t>
            </w:r>
          </w:p>
        </w:tc>
        <w:tc>
          <w:tcPr>
            <w:tcW w:w="24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программы и методики проведения аттестационных испытаний информационной системы</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Проведение аттестационных испытаний информационной системы на соответствие требованиям по защите информации, включая оценку результатов испытаний информационной системы и подготовка отчетной документации</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bl>
    <w:p>
      <w:pPr>
        <w:pStyle w:val="Normal"/>
        <w:tabs>
          <w:tab w:val="clear" w:pos="708"/>
          <w:tab w:val="left" w:pos="1276" w:leader="none"/>
        </w:tabs>
        <w:ind w:right="-2" w:hanging="0"/>
        <w:jc w:val="both"/>
        <w:rPr>
          <w:sz w:val="24"/>
        </w:rPr>
      </w:pPr>
      <w:r>
        <w:rPr>
          <w:sz w:val="24"/>
        </w:rPr>
      </w:r>
    </w:p>
    <w:p>
      <w:pPr>
        <w:pStyle w:val="ListParagraph"/>
        <w:tabs>
          <w:tab w:val="clear" w:pos="708"/>
          <w:tab w:val="left" w:pos="1276" w:leader="none"/>
        </w:tabs>
        <w:ind w:left="0" w:right="-2" w:firstLine="709"/>
        <w:jc w:val="both"/>
        <w:rPr>
          <w:sz w:val="24"/>
        </w:rPr>
      </w:pPr>
      <w:r>
        <w:rPr>
          <w:sz w:val="24"/>
        </w:rPr>
        <w:t>Исполнитель должен произвести поставку средств защиты информации, приведенных в таблице 4.</w:t>
      </w:r>
    </w:p>
    <w:p>
      <w:pPr>
        <w:pStyle w:val="Normal"/>
        <w:tabs>
          <w:tab w:val="clear" w:pos="708"/>
          <w:tab w:val="left" w:pos="1418" w:leader="none"/>
        </w:tabs>
        <w:spacing w:before="0" w:after="0"/>
        <w:ind w:firstLine="709"/>
        <w:contextualSpacing/>
        <w:jc w:val="right"/>
        <w:rPr>
          <w:sz w:val="24"/>
        </w:rPr>
      </w:pPr>
      <w:r>
        <w:rPr>
          <w:sz w:val="24"/>
        </w:rPr>
        <w:t>Таблица 4</w:t>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4"/>
        <w:gridCol w:w="4677"/>
        <w:gridCol w:w="1276"/>
        <w:gridCol w:w="3260"/>
      </w:tblGrid>
      <w:tr>
        <w:trPr>
          <w:tblHeader w:val="true"/>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center"/>
              <w:rPr>
                <w:b/>
                <w:bCs/>
                <w:color w:val="000000"/>
                <w:sz w:val="20"/>
                <w:szCs w:val="20"/>
              </w:rPr>
            </w:pPr>
            <w:r>
              <w:rPr>
                <w:b/>
                <w:bCs/>
                <w:sz w:val="20"/>
                <w:szCs w:val="20"/>
              </w:rPr>
              <w:t xml:space="preserve">№ </w:t>
            </w:r>
            <w:r>
              <w:rPr>
                <w:b/>
                <w:bCs/>
                <w:sz w:val="20"/>
                <w:szCs w:val="20"/>
              </w:rPr>
              <w:t>п/п</w:t>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0"/>
                <w:szCs w:val="20"/>
              </w:rPr>
            </w:pPr>
            <w:r>
              <w:rPr>
                <w:b/>
                <w:bCs/>
                <w:sz w:val="20"/>
                <w:szCs w:val="20"/>
              </w:rPr>
              <w:t>Наименование средства защиты информации **</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sz w:val="20"/>
                <w:szCs w:val="20"/>
              </w:rPr>
              <w:t>Кол-во, шт.</w:t>
            </w:r>
          </w:p>
        </w:tc>
        <w:tc>
          <w:tcPr>
            <w:tcW w:w="3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0"/>
                <w:szCs w:val="20"/>
              </w:rPr>
            </w:pPr>
            <w:r>
              <w:rPr>
                <w:b/>
                <w:bCs/>
                <w:sz w:val="20"/>
                <w:szCs w:val="20"/>
              </w:rPr>
              <w:t>Номер реестровой записи в реестре российского программного обеспечения</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Передача прав на использование ОС спец. назначения «Astra Linux Special Edition» вер. 1.8 арх. x64 (х86-64) для раб. станции, «Усиленный» («Воронеж»), способ передачи электронный, РУСБ.10015-01 (ФСТЭК). Обновления Тип 1 на 12 мес. Бессрочная лиц.</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369</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Передача права на использование ПО ViPNet Client 5 for Linux. (1..10). Бессрочная лицензия. Сеть 935</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4319</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Сертификат активации сервиса совместной технической поддержки ПО ViPNet Client 5 for Linux на срок 1 год, уровень - Расширенный. (1..10). Сеть 935</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lang w:val="en-US"/>
              </w:rPr>
            </w:pPr>
            <w:r>
              <w:rPr>
                <w:color w:val="000000"/>
                <w:sz w:val="20"/>
                <w:szCs w:val="20"/>
              </w:rPr>
              <w:t>Дистрибутив</w:t>
            </w:r>
            <w:r>
              <w:rPr>
                <w:color w:val="000000"/>
                <w:sz w:val="20"/>
                <w:szCs w:val="20"/>
                <w:lang w:val="en-US"/>
              </w:rPr>
              <w:t xml:space="preserve"> </w:t>
            </w:r>
            <w:r>
              <w:rPr>
                <w:color w:val="000000"/>
                <w:sz w:val="20"/>
                <w:szCs w:val="20"/>
              </w:rPr>
              <w:t>ПО</w:t>
            </w:r>
            <w:r>
              <w:rPr>
                <w:color w:val="000000"/>
                <w:sz w:val="20"/>
                <w:szCs w:val="20"/>
                <w:lang w:val="en-US"/>
              </w:rPr>
              <w:t xml:space="preserve"> ViPNet Client 5 for Linux</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Передача права на использование ПО ViPNet Endpoint Protection (Standalone Agent). Бессрочная лицензия. Сервис обновления баз решающих правил для модуля СОВ, СПВ и модуля Контроль приложений EPP на срок 3 года</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8640</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Установочный комплект ПО ViPNet EndPoint Protection с сертификационными документами</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Идентификатор JaCarta-3</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lang w:val="en-US"/>
              </w:rPr>
            </w:pPr>
            <w:r>
              <w:rPr>
                <w:color w:val="000000"/>
                <w:sz w:val="20"/>
                <w:szCs w:val="20"/>
              </w:rPr>
              <w:t>Дистрибутив</w:t>
            </w:r>
            <w:r>
              <w:rPr>
                <w:color w:val="000000"/>
                <w:sz w:val="20"/>
                <w:szCs w:val="20"/>
                <w:lang w:val="en-US"/>
              </w:rPr>
              <w:t xml:space="preserve"> Kaspersky </w:t>
            </w:r>
            <w:r>
              <w:rPr>
                <w:color w:val="000000"/>
                <w:sz w:val="20"/>
                <w:szCs w:val="20"/>
              </w:rPr>
              <w:t>Стандартный</w:t>
            </w:r>
            <w:r>
              <w:rPr>
                <w:color w:val="000000"/>
                <w:sz w:val="20"/>
                <w:szCs w:val="20"/>
                <w:lang w:val="en-US"/>
              </w:rPr>
              <w:t xml:space="preserve"> Certified Media Pack</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Средство анализа защищенности «Сканер-ВС». НПЕШ.00606-01. 7 версия. Лицензия на 1 IP адрес на 1 год (рег. № 231)</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231</w:t>
            </w:r>
          </w:p>
        </w:tc>
      </w:tr>
    </w:tbl>
    <w:p>
      <w:pPr>
        <w:pStyle w:val="ListParagraph"/>
        <w:tabs>
          <w:tab w:val="clear" w:pos="708"/>
          <w:tab w:val="left" w:pos="1418" w:leader="none"/>
        </w:tabs>
        <w:ind w:left="0" w:firstLine="709"/>
        <w:jc w:val="both"/>
        <w:rPr>
          <w:sz w:val="24"/>
        </w:rPr>
      </w:pPr>
      <w:r>
        <w:rPr>
          <w:sz w:val="24"/>
        </w:rPr>
      </w:r>
    </w:p>
    <w:p>
      <w:pPr>
        <w:pStyle w:val="ListParagraph"/>
        <w:tabs>
          <w:tab w:val="clear" w:pos="708"/>
          <w:tab w:val="left" w:pos="1418" w:leader="none"/>
        </w:tabs>
        <w:ind w:left="0" w:firstLine="709"/>
        <w:jc w:val="both"/>
        <w:rPr>
          <w:sz w:val="24"/>
        </w:rPr>
      </w:pPr>
      <w:r>
        <w:rPr>
          <w:sz w:val="24"/>
        </w:rPr>
        <w:t>** Поставка иных средств защиты информации невозможна, в связи с необходимостью обеспечения совместимости с программными решениями, указанными в Таблице 2 настоящего технического задания.</w:t>
      </w:r>
    </w:p>
    <w:p>
      <w:pPr>
        <w:pStyle w:val="ListParagraph"/>
        <w:tabs>
          <w:tab w:val="clear" w:pos="708"/>
          <w:tab w:val="left" w:pos="1418" w:leader="none"/>
        </w:tabs>
        <w:ind w:left="0" w:firstLine="709"/>
        <w:jc w:val="both"/>
        <w:rPr>
          <w:sz w:val="24"/>
        </w:rPr>
      </w:pPr>
      <w:r>
        <w:rPr>
          <w:sz w:val="24"/>
        </w:rPr>
        <w:t>Заказчик гарантирует наличие лицензий всех средств защиты информации, не указанных в таблице 4 настоящего технического задания, но не обходимых для проведения работ.</w:t>
      </w:r>
    </w:p>
    <w:p>
      <w:pPr>
        <w:pStyle w:val="ListParagraph"/>
        <w:numPr>
          <w:ilvl w:val="1"/>
          <w:numId w:val="6"/>
        </w:numPr>
        <w:tabs>
          <w:tab w:val="clear" w:pos="708"/>
          <w:tab w:val="left" w:pos="1134" w:leader="none"/>
        </w:tabs>
        <w:ind w:left="0" w:right="-47" w:firstLine="567"/>
        <w:jc w:val="both"/>
        <w:rPr>
          <w:sz w:val="24"/>
        </w:rPr>
      </w:pPr>
      <w:r>
        <w:rPr>
          <w:sz w:val="24"/>
        </w:rPr>
        <w:t>Условия и порядок оказания услуг.</w:t>
      </w:r>
    </w:p>
    <w:p>
      <w:pPr>
        <w:pStyle w:val="ListParagraph"/>
        <w:tabs>
          <w:tab w:val="clear" w:pos="708"/>
          <w:tab w:val="left" w:pos="1418" w:leader="none"/>
        </w:tabs>
        <w:ind w:left="0" w:firstLine="709"/>
        <w:jc w:val="both"/>
        <w:rPr>
          <w:sz w:val="24"/>
        </w:rPr>
      </w:pPr>
      <w:r>
        <w:rPr>
          <w:sz w:val="24"/>
        </w:rPr>
        <w:t xml:space="preserve">Оказание комплекса услуг по созданию системы защиты информации и аттестации объекта информатизации проводится с учетом требований приказа ФСТЭК России от «11» апреля 2025 года № 117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иных документов по защите информации в государственных информационных системах. </w:t>
      </w:r>
    </w:p>
    <w:p>
      <w:pPr>
        <w:pStyle w:val="Normal"/>
        <w:tabs>
          <w:tab w:val="clear" w:pos="708"/>
          <w:tab w:val="left" w:pos="1418" w:leader="none"/>
        </w:tabs>
        <w:ind w:firstLine="709"/>
        <w:jc w:val="both"/>
        <w:rPr>
          <w:rFonts w:eastAsia="Calibri"/>
          <w:sz w:val="24"/>
        </w:rPr>
      </w:pPr>
      <w:r>
        <w:rPr>
          <w:rFonts w:eastAsia="Calibri"/>
          <w:sz w:val="24"/>
        </w:rPr>
        <w:t>Взаимодействие ответственных лиц со стороны Заказчика и Исполнителя осуществляется согласно установленным у Заказчикам правилам внутреннего распорядка.</w:t>
      </w:r>
    </w:p>
    <w:p>
      <w:pPr>
        <w:pStyle w:val="Normal"/>
        <w:tabs>
          <w:tab w:val="clear" w:pos="708"/>
          <w:tab w:val="left" w:pos="1418" w:leader="none"/>
        </w:tabs>
        <w:ind w:firstLine="709"/>
        <w:jc w:val="both"/>
        <w:rPr>
          <w:highlight w:val="none"/>
          <w:shd w:fill="FFFFFF" w:val="clear"/>
        </w:rPr>
      </w:pPr>
      <w:r>
        <w:rPr>
          <w:rFonts w:eastAsia="Calibri"/>
          <w:sz w:val="24"/>
          <w:shd w:fill="FFFFFF" w:val="clear"/>
        </w:rPr>
        <w:t>Контактное лицо: Першин Дмитрий Дмитриевич Ведущий специалист по защите информации 8 (4212) 59-99-56.</w:t>
      </w:r>
    </w:p>
    <w:p>
      <w:pPr>
        <w:pStyle w:val="Normal"/>
        <w:tabs>
          <w:tab w:val="clear" w:pos="708"/>
          <w:tab w:val="left" w:pos="1418" w:leader="none"/>
          <w:tab w:val="left" w:pos="1560" w:leader="none"/>
        </w:tabs>
        <w:spacing w:before="0" w:after="0"/>
        <w:ind w:firstLine="709"/>
        <w:contextualSpacing/>
        <w:jc w:val="both"/>
        <w:rPr>
          <w:rFonts w:eastAsia="Calibri"/>
          <w:sz w:val="24"/>
        </w:rPr>
      </w:pPr>
      <w:r>
        <w:rPr>
          <w:rFonts w:eastAsia="Calibri"/>
          <w:sz w:val="24"/>
        </w:rPr>
        <w:t>Оказание услуг должно выполнять Исполнителем собственными силами без привлечения сторонних организаций.</w:t>
      </w:r>
    </w:p>
    <w:p>
      <w:pPr>
        <w:pStyle w:val="ListParagraph"/>
        <w:numPr>
          <w:ilvl w:val="1"/>
          <w:numId w:val="6"/>
        </w:numPr>
        <w:tabs>
          <w:tab w:val="clear" w:pos="708"/>
          <w:tab w:val="left" w:pos="1134" w:leader="none"/>
        </w:tabs>
        <w:ind w:left="0" w:right="-47" w:firstLine="567"/>
        <w:jc w:val="both"/>
        <w:rPr>
          <w:sz w:val="24"/>
        </w:rPr>
      </w:pPr>
      <w:r>
        <w:rPr>
          <w:sz w:val="24"/>
        </w:rPr>
        <w:t>Требования к оказываемым услугам</w:t>
      </w:r>
    </w:p>
    <w:p>
      <w:pPr>
        <w:pStyle w:val="ListParagraph"/>
        <w:numPr>
          <w:ilvl w:val="2"/>
          <w:numId w:val="6"/>
        </w:numPr>
        <w:tabs>
          <w:tab w:val="clear" w:pos="708"/>
          <w:tab w:val="left" w:pos="1985" w:leader="none"/>
        </w:tabs>
        <w:ind w:left="0" w:right="-45" w:firstLine="567"/>
        <w:jc w:val="both"/>
        <w:rPr>
          <w:sz w:val="24"/>
        </w:rPr>
      </w:pPr>
      <w:r>
        <w:rPr>
          <w:sz w:val="24"/>
        </w:rPr>
        <w:t>Разработка аналитического обоснования требований по обеспечению безопасности информации и формулированию задач защиты информации.</w:t>
      </w:r>
    </w:p>
    <w:p>
      <w:pPr>
        <w:pStyle w:val="Normal"/>
        <w:keepLines/>
        <w:ind w:firstLine="709"/>
        <w:jc w:val="both"/>
        <w:rPr>
          <w:bCs/>
          <w:sz w:val="24"/>
        </w:rPr>
      </w:pPr>
      <w:r>
        <w:rPr>
          <w:bCs/>
          <w:sz w:val="24"/>
        </w:rPr>
        <w:t>В рамках обследования объекта информатизации Исполнитель осуществляет:</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анализ технологических процессов обработки информации;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изучение характеристик технических средств, участвующих в технологическом процессе обработки информации;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анализ документации на объект информатизации;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анализ информационных потоков для выявления в них информации, доступ к которой ограничен федеральными законами;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анализ правомерности доступа к информации ограниченного доступа.</w:t>
      </w:r>
    </w:p>
    <w:p>
      <w:pPr>
        <w:pStyle w:val="Normal"/>
        <w:keepLines/>
        <w:ind w:firstLine="709"/>
        <w:jc w:val="both"/>
        <w:rPr>
          <w:bCs/>
          <w:sz w:val="24"/>
        </w:rPr>
      </w:pPr>
      <w:r>
        <w:rPr>
          <w:bCs/>
          <w:sz w:val="24"/>
        </w:rPr>
        <w:t xml:space="preserve">Мероприятия по обследованию ИС должны представлять собой комплекс мероприятий </w:t>
        <w:br/>
        <w:t>по определению:</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информационной характеристики и организационной структуры объекта информатизации;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характеристики комплекса основных технических средств, программного обеспечения, режимов работы, технологического процесса обработки информации на объекте информатизации;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выполненных требований к защите информации на момент обследования;</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планируемого состава мер защиты информации.</w:t>
      </w:r>
    </w:p>
    <w:p>
      <w:pPr>
        <w:pStyle w:val="Normal"/>
        <w:keepLines/>
        <w:ind w:firstLine="709"/>
        <w:jc w:val="both"/>
        <w:rPr>
          <w:bCs/>
          <w:sz w:val="24"/>
        </w:rPr>
      </w:pPr>
      <w:r>
        <w:rPr>
          <w:bCs/>
          <w:sz w:val="24"/>
        </w:rPr>
        <w:t>Мероприятия допускается проводить согласно п. 6.3.1 ГОСТ Р 51583-2014 «Защита информации. Порядок создания автоматизированных систем в защищенном исполнении. Общие положения» (далее – ГОСТ Р 51583-2014).</w:t>
      </w:r>
    </w:p>
    <w:p>
      <w:pPr>
        <w:pStyle w:val="Normal"/>
        <w:keepLines/>
        <w:ind w:firstLine="709"/>
        <w:jc w:val="both"/>
        <w:rPr>
          <w:rFonts w:eastAsia="Calibri"/>
          <w:bCs/>
          <w:sz w:val="24"/>
        </w:rPr>
      </w:pPr>
      <w:r>
        <w:rPr>
          <w:bCs/>
          <w:sz w:val="24"/>
        </w:rPr>
        <w:t>Результатом услуги по проведению мероприятий по обследованию информационной системы является разработанный документ «Отчет о предпроектном обследовании».</w:t>
      </w:r>
    </w:p>
    <w:p>
      <w:pPr>
        <w:pStyle w:val="Normal"/>
        <w:keepLines/>
        <w:ind w:firstLine="709"/>
        <w:jc w:val="both"/>
        <w:rPr>
          <w:rFonts w:eastAsia="Calibri"/>
          <w:bCs/>
          <w:sz w:val="24"/>
        </w:rPr>
      </w:pPr>
      <w:r>
        <w:rPr>
          <w:bCs/>
          <w:sz w:val="24"/>
        </w:rPr>
        <w:t>Документ должен иметь следующее содержание:</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описание информационной характеристики и организационной структуры объекта информатизации;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описание характеристики комплекса основных технических средств, программного обеспечения, режимов работы, технологического процесса обработки информации;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описание необходимых требований к защите информации;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выводы и рекомендации.</w:t>
      </w:r>
    </w:p>
    <w:p>
      <w:pPr>
        <w:pStyle w:val="Normal"/>
        <w:tabs>
          <w:tab w:val="clear" w:pos="708"/>
          <w:tab w:val="left" w:pos="0" w:leader="none"/>
          <w:tab w:val="left" w:pos="284" w:leader="none"/>
        </w:tabs>
        <w:ind w:firstLine="709"/>
        <w:jc w:val="both"/>
        <w:rPr>
          <w:bCs/>
          <w:sz w:val="24"/>
        </w:rPr>
      </w:pPr>
      <w:r>
        <w:rPr>
          <w:bCs/>
          <w:sz w:val="24"/>
        </w:rPr>
        <w:t xml:space="preserve">Допускается включение в документ иных разделов, не противоречащих </w:t>
        <w:br/>
        <w:t>ГОСТ Р 51583-2014.</w:t>
      </w:r>
    </w:p>
    <w:p>
      <w:pPr>
        <w:pStyle w:val="Normal"/>
        <w:shd w:val="clear" w:color="auto" w:fill="FFFFFF"/>
        <w:tabs>
          <w:tab w:val="clear" w:pos="708"/>
          <w:tab w:val="left" w:pos="426" w:leader="none"/>
          <w:tab w:val="left" w:pos="1418" w:leader="none"/>
        </w:tabs>
        <w:ind w:firstLine="709"/>
        <w:jc w:val="both"/>
        <w:rPr>
          <w:bCs/>
          <w:iCs/>
          <w:kern w:val="2"/>
          <w:sz w:val="24"/>
        </w:rPr>
      </w:pPr>
      <w:r>
        <w:rPr>
          <w:bCs/>
          <w:sz w:val="24"/>
        </w:rPr>
        <w:t>Предоставляется на бумажном носителе, утверждается Исполнителем и Заказчиком.</w:t>
      </w:r>
    </w:p>
    <w:p>
      <w:pPr>
        <w:pStyle w:val="ListParagraph"/>
        <w:numPr>
          <w:ilvl w:val="2"/>
          <w:numId w:val="6"/>
        </w:numPr>
        <w:tabs>
          <w:tab w:val="clear" w:pos="708"/>
          <w:tab w:val="left" w:pos="1985" w:leader="none"/>
        </w:tabs>
        <w:ind w:left="0" w:right="-45" w:firstLine="567"/>
        <w:jc w:val="both"/>
        <w:rPr>
          <w:sz w:val="24"/>
        </w:rPr>
      </w:pPr>
      <w:r>
        <w:rPr>
          <w:sz w:val="24"/>
        </w:rPr>
        <w:t xml:space="preserve">Разработка технического задания на создание системы защиты информации в ИС </w:t>
        <w:br/>
        <w:t xml:space="preserve">и технического проекта системы защиты информации в ИС </w:t>
      </w:r>
    </w:p>
    <w:p>
      <w:pPr>
        <w:pStyle w:val="Normal"/>
        <w:tabs>
          <w:tab w:val="clear" w:pos="708"/>
          <w:tab w:val="left" w:pos="0" w:leader="none"/>
          <w:tab w:val="left" w:pos="284" w:leader="none"/>
        </w:tabs>
        <w:ind w:firstLine="709"/>
        <w:jc w:val="both"/>
        <w:rPr>
          <w:bCs/>
          <w:sz w:val="24"/>
        </w:rPr>
      </w:pPr>
      <w:r>
        <w:rPr>
          <w:bCs/>
          <w:sz w:val="24"/>
        </w:rPr>
        <w:t>Система защиты информации ОИ должна быть разработана с учетом</w:t>
      </w:r>
      <w:r>
        <w:rPr/>
        <w:t xml:space="preserve"> </w:t>
      </w:r>
      <w:r>
        <w:rPr>
          <w:bCs/>
          <w:sz w:val="24"/>
        </w:rPr>
        <w:t xml:space="preserve">федеральных законов Российской Федерации и иными нормативных правовых актов Российской Федерации </w:t>
        <w:br/>
        <w:t xml:space="preserve">и федеральных органов исполнительной власти Российской Федерации по защите информации </w:t>
        <w:br/>
        <w:t>в государственных информационных системах.</w:t>
      </w:r>
    </w:p>
    <w:p>
      <w:pPr>
        <w:pStyle w:val="Normal"/>
        <w:shd w:val="clear" w:color="auto" w:fill="FFFFFF"/>
        <w:tabs>
          <w:tab w:val="clear" w:pos="708"/>
          <w:tab w:val="left" w:pos="426" w:leader="none"/>
          <w:tab w:val="left" w:pos="1418" w:leader="none"/>
        </w:tabs>
        <w:ind w:firstLine="709"/>
        <w:jc w:val="both"/>
        <w:rPr>
          <w:bCs/>
          <w:iCs/>
          <w:kern w:val="2"/>
          <w:sz w:val="24"/>
        </w:rPr>
      </w:pPr>
      <w:r>
        <w:rPr>
          <w:bCs/>
          <w:sz w:val="24"/>
        </w:rPr>
        <w:t>Предоставляются на бумажном носителе, утверждается Исполнителем и Заказчиком.</w:t>
      </w:r>
    </w:p>
    <w:p>
      <w:pPr>
        <w:pStyle w:val="ListParagraph"/>
        <w:numPr>
          <w:ilvl w:val="2"/>
          <w:numId w:val="6"/>
        </w:numPr>
        <w:tabs>
          <w:tab w:val="clear" w:pos="708"/>
          <w:tab w:val="left" w:pos="1985" w:leader="none"/>
        </w:tabs>
        <w:ind w:left="0" w:right="-45" w:firstLine="567"/>
        <w:jc w:val="both"/>
        <w:rPr>
          <w:sz w:val="24"/>
        </w:rPr>
      </w:pPr>
      <w:r>
        <w:rPr>
          <w:sz w:val="24"/>
        </w:rPr>
        <w:t>Разработка модели угроз безопасности информации и нарушителя в ИС</w:t>
      </w:r>
    </w:p>
    <w:p>
      <w:pPr>
        <w:pStyle w:val="Normal"/>
        <w:shd w:val="clear" w:color="auto" w:fill="FFFFFF"/>
        <w:tabs>
          <w:tab w:val="clear" w:pos="708"/>
          <w:tab w:val="left" w:pos="426" w:leader="none"/>
          <w:tab w:val="left" w:pos="1418" w:leader="none"/>
        </w:tabs>
        <w:ind w:firstLine="709"/>
        <w:jc w:val="both"/>
        <w:rPr>
          <w:bCs/>
          <w:sz w:val="24"/>
        </w:rPr>
      </w:pPr>
      <w:r>
        <w:rPr>
          <w:bCs/>
          <w:sz w:val="24"/>
        </w:rPr>
        <w:t xml:space="preserve">При разработке модели угроз и нарушителя безопасности в информационной системе применяются: </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«Методический документ. Методика оценки угроз безопасности информации», утвержденный ФСТЭК России от 05.02.2021;</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Банк данных угроз безопасности информации ФСТЭК России (</w:t>
      </w:r>
      <w:hyperlink r:id="rId2">
        <w:r>
          <w:rPr>
            <w:color w:val="000000"/>
            <w:sz w:val="24"/>
            <w:lang w:eastAsia="ar-SA"/>
          </w:rPr>
          <w:t>http://bdu.fstec.ru/</w:t>
        </w:r>
      </w:hyperlink>
      <w:r>
        <w:rPr>
          <w:color w:val="000000"/>
          <w:sz w:val="24"/>
          <w:lang w:eastAsia="ar-SA"/>
        </w:rPr>
        <w:t>) (версия, актуальная на момент написания частной модели угроз);</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Методические документы, разработанные и утвержденные ФСТЭК России </w:t>
        <w:br/>
        <w:t>в соответствии с п.п. 4 п. 8 Положения о ФСТЭК России, утвержденного Указом Президента Российской Федерации от 16.08.2004 № 1085 (далее – Положение о ФСТЭК России).</w:t>
      </w:r>
    </w:p>
    <w:p>
      <w:pPr>
        <w:pStyle w:val="Normal"/>
        <w:tabs>
          <w:tab w:val="clear" w:pos="708"/>
          <w:tab w:val="left" w:pos="0" w:leader="none"/>
          <w:tab w:val="left" w:pos="284" w:leader="none"/>
        </w:tabs>
        <w:ind w:firstLine="709"/>
        <w:jc w:val="both"/>
        <w:rPr>
          <w:bCs/>
          <w:sz w:val="24"/>
        </w:rPr>
      </w:pPr>
      <w:r>
        <w:rPr>
          <w:bCs/>
          <w:sz w:val="24"/>
        </w:rPr>
        <w:t>Содержание документа соответствует требованиям методических документов, разработанных и утвержденных ФСТЭК России в соответствии с п.п. 4 п. 8 Положения о ФСТЭК России.</w:t>
      </w:r>
    </w:p>
    <w:p>
      <w:pPr>
        <w:pStyle w:val="Normal"/>
        <w:shd w:val="clear" w:color="auto" w:fill="FFFFFF"/>
        <w:tabs>
          <w:tab w:val="clear" w:pos="708"/>
          <w:tab w:val="left" w:pos="426" w:leader="none"/>
          <w:tab w:val="left" w:pos="1418" w:leader="none"/>
        </w:tabs>
        <w:ind w:firstLine="709"/>
        <w:jc w:val="both"/>
        <w:rPr>
          <w:bCs/>
          <w:iCs/>
          <w:kern w:val="2"/>
          <w:sz w:val="24"/>
        </w:rPr>
      </w:pPr>
      <w:r>
        <w:rPr>
          <w:bCs/>
          <w:sz w:val="24"/>
        </w:rPr>
        <w:t>Предоставляется на электронном носителе, утверждается Заказчиком.</w:t>
      </w:r>
    </w:p>
    <w:p>
      <w:pPr>
        <w:pStyle w:val="ListParagraph"/>
        <w:numPr>
          <w:ilvl w:val="2"/>
          <w:numId w:val="6"/>
        </w:numPr>
        <w:tabs>
          <w:tab w:val="clear" w:pos="708"/>
          <w:tab w:val="left" w:pos="1985" w:leader="none"/>
        </w:tabs>
        <w:ind w:left="0" w:right="-45" w:firstLine="567"/>
        <w:jc w:val="both"/>
        <w:rPr>
          <w:sz w:val="24"/>
        </w:rPr>
      </w:pPr>
      <w:r>
        <w:rPr>
          <w:sz w:val="24"/>
        </w:rPr>
        <w:t>Разработка комплекта проектов ОРД на ИС в соответствии с требованиями действующего законодательства</w:t>
      </w:r>
    </w:p>
    <w:p>
      <w:pPr>
        <w:pStyle w:val="Normal"/>
        <w:tabs>
          <w:tab w:val="clear" w:pos="708"/>
          <w:tab w:val="left" w:pos="0" w:leader="none"/>
          <w:tab w:val="left" w:pos="284" w:leader="none"/>
        </w:tabs>
        <w:ind w:firstLine="709"/>
        <w:jc w:val="both"/>
        <w:rPr>
          <w:bCs/>
          <w:sz w:val="24"/>
        </w:rPr>
      </w:pPr>
      <w:r>
        <w:rPr>
          <w:bCs/>
          <w:sz w:val="24"/>
        </w:rPr>
        <w:t>Производится анализ, имеющейся ОРД, на соответствие методического документа ФСТЭК России от «12» апреля 2026 года «Состав и содержание мероприятий и мер по защите информации, содержащейся в информационных системах», при необходимости разрабатывается весь необходимый пакет ОРД и эксплуатационных документов для успешной аттестации объекта информатизации.</w:t>
      </w:r>
    </w:p>
    <w:p>
      <w:pPr>
        <w:pStyle w:val="Normal"/>
        <w:tabs>
          <w:tab w:val="clear" w:pos="708"/>
          <w:tab w:val="left" w:pos="0" w:leader="none"/>
          <w:tab w:val="left" w:pos="284" w:leader="none"/>
        </w:tabs>
        <w:ind w:firstLine="709"/>
        <w:jc w:val="both"/>
        <w:rPr>
          <w:bCs/>
          <w:sz w:val="24"/>
        </w:rPr>
      </w:pPr>
      <w:r>
        <w:rPr>
          <w:bCs/>
          <w:sz w:val="24"/>
        </w:rPr>
        <w:t xml:space="preserve">Документация предоставляется в электронном виде (по средствам имейла или передачи физического носителя информации) в учтенном в порядке установленным у Исполнителя, </w:t>
        <w:br/>
        <w:t>в следующих форматах:</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val="en-US" w:eastAsia="ar-SA"/>
        </w:rPr>
      </w:pPr>
      <w:r>
        <w:rPr>
          <w:color w:val="000000"/>
          <w:sz w:val="24"/>
          <w:lang w:eastAsia="ar-SA"/>
        </w:rPr>
        <w:t>Схемы</w:t>
      </w:r>
      <w:r>
        <w:rPr>
          <w:color w:val="000000"/>
          <w:sz w:val="24"/>
          <w:lang w:val="en-US" w:eastAsia="ar-SA"/>
        </w:rPr>
        <w:t xml:space="preserve">, </w:t>
      </w:r>
      <w:r>
        <w:rPr>
          <w:color w:val="000000"/>
          <w:sz w:val="24"/>
          <w:lang w:eastAsia="ar-SA"/>
        </w:rPr>
        <w:t>планы</w:t>
      </w:r>
      <w:r>
        <w:rPr>
          <w:color w:val="000000"/>
          <w:sz w:val="24"/>
          <w:lang w:val="en-US" w:eastAsia="ar-SA"/>
        </w:rPr>
        <w:t xml:space="preserve"> – </w:t>
      </w:r>
      <w:r>
        <w:rPr>
          <w:color w:val="000000"/>
          <w:sz w:val="24"/>
          <w:lang w:eastAsia="ar-SA"/>
        </w:rPr>
        <w:t>формат</w:t>
      </w:r>
      <w:r>
        <w:rPr>
          <w:color w:val="000000"/>
          <w:sz w:val="24"/>
          <w:lang w:val="en-US" w:eastAsia="ar-SA"/>
        </w:rPr>
        <w:t xml:space="preserve"> Microsoft Visio, Portable Document Format (PDF);</w:t>
      </w:r>
    </w:p>
    <w:p>
      <w:pPr>
        <w:pStyle w:val="Normal"/>
        <w:widowControl w:val="false"/>
        <w:numPr>
          <w:ilvl w:val="0"/>
          <w:numId w:val="7"/>
        </w:numPr>
        <w:shd w:val="clear" w:color="auto" w:fill="FFFFFF"/>
        <w:tabs>
          <w:tab w:val="clear" w:pos="708"/>
          <w:tab w:val="left" w:pos="1134" w:leader="none"/>
        </w:tabs>
        <w:ind w:left="0" w:firstLine="709"/>
        <w:jc w:val="both"/>
        <w:rPr>
          <w:bCs/>
          <w:iCs/>
          <w:kern w:val="2"/>
          <w:sz w:val="24"/>
          <w:lang w:val="en-US"/>
        </w:rPr>
      </w:pPr>
      <w:r>
        <w:rPr>
          <w:color w:val="000000"/>
          <w:sz w:val="24"/>
          <w:lang w:eastAsia="ar-SA"/>
        </w:rPr>
        <w:t>Текстовые</w:t>
      </w:r>
      <w:r>
        <w:rPr>
          <w:color w:val="000000"/>
          <w:sz w:val="24"/>
          <w:lang w:val="en-US" w:eastAsia="ar-SA"/>
        </w:rPr>
        <w:t xml:space="preserve"> </w:t>
      </w:r>
      <w:r>
        <w:rPr>
          <w:color w:val="000000"/>
          <w:sz w:val="24"/>
          <w:lang w:eastAsia="ar-SA"/>
        </w:rPr>
        <w:t>документы</w:t>
      </w:r>
      <w:r>
        <w:rPr>
          <w:color w:val="000000"/>
          <w:sz w:val="24"/>
          <w:lang w:val="en-US" w:eastAsia="ar-SA"/>
        </w:rPr>
        <w:t xml:space="preserve"> – Portable Document Format (PDF), Microsoft Word, Open Document Format.</w:t>
      </w:r>
    </w:p>
    <w:p>
      <w:pPr>
        <w:pStyle w:val="Normal"/>
        <w:widowControl w:val="false"/>
        <w:shd w:val="clear" w:color="auto" w:fill="FFFFFF"/>
        <w:tabs>
          <w:tab w:val="clear" w:pos="708"/>
          <w:tab w:val="left" w:pos="1134" w:leader="none"/>
        </w:tabs>
        <w:ind w:left="709" w:hanging="0"/>
        <w:jc w:val="both"/>
        <w:rPr>
          <w:bCs/>
          <w:sz w:val="24"/>
        </w:rPr>
      </w:pPr>
      <w:r>
        <w:rPr>
          <w:bCs/>
          <w:sz w:val="24"/>
        </w:rPr>
        <w:t>Утверждается Заказчиком.</w:t>
      </w:r>
    </w:p>
    <w:p>
      <w:pPr>
        <w:pStyle w:val="ListParagraph"/>
        <w:numPr>
          <w:ilvl w:val="2"/>
          <w:numId w:val="6"/>
        </w:numPr>
        <w:tabs>
          <w:tab w:val="clear" w:pos="708"/>
          <w:tab w:val="left" w:pos="1985" w:leader="none"/>
        </w:tabs>
        <w:ind w:left="0" w:right="-45" w:firstLine="567"/>
        <w:jc w:val="both"/>
        <w:rPr>
          <w:sz w:val="24"/>
        </w:rPr>
      </w:pPr>
      <w:r>
        <w:rPr>
          <w:sz w:val="24"/>
        </w:rPr>
        <w:t xml:space="preserve">Настройка средств защиты информации, имеющихся у заказчика </w:t>
      </w:r>
    </w:p>
    <w:p>
      <w:pPr>
        <w:pStyle w:val="Normal"/>
        <w:widowControl w:val="false"/>
        <w:shd w:val="clear" w:color="auto" w:fill="FFFFFF"/>
        <w:tabs>
          <w:tab w:val="clear" w:pos="708"/>
          <w:tab w:val="left" w:pos="1134" w:leader="none"/>
        </w:tabs>
        <w:ind w:firstLine="709"/>
        <w:jc w:val="both"/>
        <w:rPr>
          <w:color w:val="000000"/>
          <w:sz w:val="24"/>
          <w:lang w:eastAsia="ar-SA"/>
        </w:rPr>
      </w:pPr>
      <w:r>
        <w:rPr>
          <w:color w:val="000000"/>
          <w:sz w:val="24"/>
          <w:lang w:eastAsia="ar-SA"/>
        </w:rPr>
        <w:t>Исполнитель осуществляет настройку СрЗИ, имеющихся у Заказчика.</w:t>
      </w:r>
    </w:p>
    <w:p>
      <w:pPr>
        <w:pStyle w:val="Normal"/>
        <w:shd w:val="clear" w:color="auto" w:fill="FFFFFF"/>
        <w:tabs>
          <w:tab w:val="clear" w:pos="708"/>
          <w:tab w:val="left" w:pos="426" w:leader="none"/>
          <w:tab w:val="left" w:pos="1418" w:leader="none"/>
        </w:tabs>
        <w:ind w:firstLine="709"/>
        <w:jc w:val="both"/>
        <w:rPr>
          <w:bCs/>
          <w:sz w:val="24"/>
        </w:rPr>
      </w:pPr>
      <w:r>
        <w:rPr>
          <w:bCs/>
          <w:sz w:val="24"/>
        </w:rPr>
        <w:t>Акт</w:t>
      </w:r>
      <w:r>
        <w:rPr>
          <w:color w:val="000000"/>
          <w:sz w:val="24"/>
          <w:lang w:eastAsia="ar-SA"/>
        </w:rPr>
        <w:t xml:space="preserve"> установки и настройки СрЗИ </w:t>
      </w:r>
      <w:r>
        <w:rPr>
          <w:bCs/>
          <w:sz w:val="24"/>
        </w:rPr>
        <w:t xml:space="preserve">оформляется на бумажном носителе на все средства </w:t>
        <w:br/>
        <w:t xml:space="preserve">и механизмы защиты информации, устанавливаемые в рамках настоящей Технической части. </w:t>
      </w:r>
    </w:p>
    <w:p>
      <w:pPr>
        <w:pStyle w:val="ListParagraph"/>
        <w:numPr>
          <w:ilvl w:val="2"/>
          <w:numId w:val="6"/>
        </w:numPr>
        <w:tabs>
          <w:tab w:val="clear" w:pos="708"/>
          <w:tab w:val="left" w:pos="1985" w:leader="none"/>
        </w:tabs>
        <w:ind w:left="0" w:right="-45" w:firstLine="567"/>
        <w:jc w:val="both"/>
        <w:rPr>
          <w:sz w:val="24"/>
        </w:rPr>
      </w:pPr>
      <w:r>
        <w:rPr>
          <w:sz w:val="24"/>
        </w:rPr>
        <w:t>Разработка программы и методики проведения аттестационных испытаний информационной системы</w:t>
      </w:r>
    </w:p>
    <w:p>
      <w:pPr>
        <w:pStyle w:val="Normal"/>
        <w:tabs>
          <w:tab w:val="clear" w:pos="708"/>
          <w:tab w:val="left" w:pos="0" w:leader="none"/>
          <w:tab w:val="left" w:pos="284" w:leader="none"/>
        </w:tabs>
        <w:ind w:firstLine="709"/>
        <w:jc w:val="both"/>
        <w:rPr>
          <w:bCs/>
          <w:sz w:val="24"/>
        </w:rPr>
      </w:pPr>
      <w:r>
        <w:rPr>
          <w:bCs/>
          <w:sz w:val="24"/>
        </w:rPr>
        <w:t>Разрабатывается с учетом приказа ФСТЭК России от 29.04.2021 № 77 «Порядок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r>
        <w:rPr/>
        <w:t xml:space="preserve"> </w:t>
      </w:r>
      <w:r>
        <w:rPr>
          <w:sz w:val="24"/>
        </w:rPr>
        <w:t>(далее – п</w:t>
      </w:r>
      <w:r>
        <w:rPr>
          <w:bCs/>
          <w:sz w:val="24"/>
        </w:rPr>
        <w:t>риказ ФСТЭК России от 29.04.2021 № 77), ГОСТ РО 0043-004-2013</w:t>
      </w:r>
      <w:r>
        <w:rPr/>
        <w:t xml:space="preserve"> «</w:t>
      </w:r>
      <w:r>
        <w:rPr>
          <w:bCs/>
          <w:sz w:val="24"/>
        </w:rPr>
        <w:t xml:space="preserve">Защита информации. Аттестация объектов информатизации. Программа и методики аттестационных испытаний». </w:t>
      </w:r>
    </w:p>
    <w:p>
      <w:pPr>
        <w:pStyle w:val="Normal"/>
        <w:tabs>
          <w:tab w:val="clear" w:pos="708"/>
          <w:tab w:val="left" w:pos="0" w:leader="none"/>
          <w:tab w:val="left" w:pos="284" w:leader="none"/>
        </w:tabs>
        <w:ind w:firstLine="709"/>
        <w:jc w:val="both"/>
        <w:rPr>
          <w:bCs/>
          <w:sz w:val="24"/>
        </w:rPr>
      </w:pPr>
      <w:r>
        <w:rPr>
          <w:bCs/>
          <w:sz w:val="24"/>
        </w:rPr>
        <w:t>Предоставляется на бумажном носителе, утверждается Исполнителем и Заказчиком.</w:t>
      </w:r>
    </w:p>
    <w:p>
      <w:pPr>
        <w:pStyle w:val="ListParagraph"/>
        <w:numPr>
          <w:ilvl w:val="2"/>
          <w:numId w:val="6"/>
        </w:numPr>
        <w:tabs>
          <w:tab w:val="clear" w:pos="708"/>
          <w:tab w:val="left" w:pos="1985" w:leader="none"/>
        </w:tabs>
        <w:ind w:left="0" w:right="-45" w:firstLine="567"/>
        <w:jc w:val="both"/>
        <w:rPr>
          <w:sz w:val="24"/>
        </w:rPr>
      </w:pPr>
      <w:r>
        <w:rPr>
          <w:sz w:val="24"/>
        </w:rPr>
        <w:t>Проведение аттестационных испытаний информационной системы на соответствие требованиям по защите информации, включая оценку результатов испытаний информационной системы и подготовка отчетной документации</w:t>
      </w:r>
    </w:p>
    <w:p>
      <w:pPr>
        <w:pStyle w:val="Normal"/>
        <w:tabs>
          <w:tab w:val="clear" w:pos="708"/>
          <w:tab w:val="left" w:pos="0" w:leader="none"/>
          <w:tab w:val="left" w:pos="284" w:leader="none"/>
        </w:tabs>
        <w:ind w:firstLine="709"/>
        <w:jc w:val="both"/>
        <w:rPr>
          <w:bCs/>
          <w:sz w:val="24"/>
        </w:rPr>
      </w:pPr>
      <w:r>
        <w:rPr>
          <w:bCs/>
          <w:sz w:val="24"/>
        </w:rPr>
        <w:t xml:space="preserve">Исполнителем должны быть проведены аттестационные испытания ОИ на соответствия требованиям по защите информации. </w:t>
      </w:r>
    </w:p>
    <w:p>
      <w:pPr>
        <w:pStyle w:val="Normal"/>
        <w:tabs>
          <w:tab w:val="clear" w:pos="708"/>
          <w:tab w:val="left" w:pos="0" w:leader="none"/>
          <w:tab w:val="left" w:pos="284" w:leader="none"/>
        </w:tabs>
        <w:ind w:firstLine="709"/>
        <w:jc w:val="both"/>
        <w:rPr>
          <w:bCs/>
          <w:sz w:val="24"/>
        </w:rPr>
      </w:pPr>
      <w:r>
        <w:rPr>
          <w:sz w:val="24"/>
        </w:rPr>
        <w:t xml:space="preserve">Должен быть разработан протокол аттестационных испытаний (защита информации </w:t>
        <w:br/>
        <w:t xml:space="preserve">от несанкционированного доступа). </w:t>
      </w:r>
      <w:r>
        <w:rPr>
          <w:bCs/>
          <w:sz w:val="24"/>
        </w:rPr>
        <w:t xml:space="preserve">Разрабатывается с учетом приказа ФСТЭК России </w:t>
        <w:br/>
        <w:t>от 29.04.2021 № 77. Предоставляется на бумажном носителе, утверждается Исполнителем..</w:t>
      </w:r>
    </w:p>
    <w:p>
      <w:pPr>
        <w:pStyle w:val="Normal"/>
        <w:tabs>
          <w:tab w:val="clear" w:pos="708"/>
          <w:tab w:val="left" w:pos="0" w:leader="none"/>
          <w:tab w:val="left" w:pos="284" w:leader="none"/>
        </w:tabs>
        <w:ind w:firstLine="709"/>
        <w:jc w:val="both"/>
        <w:rPr>
          <w:bCs/>
          <w:sz w:val="24"/>
        </w:rPr>
      </w:pPr>
      <w:r>
        <w:rPr>
          <w:sz w:val="24"/>
        </w:rPr>
        <w:t xml:space="preserve">Должен быть разработан протокол по результатам анализа уязвимостей. </w:t>
      </w:r>
      <w:r>
        <w:rPr>
          <w:bCs/>
          <w:sz w:val="24"/>
        </w:rPr>
        <w:t>Разрабатывается с учетом приказа ФСТЭК России от 29.04.2021 № 77. В ходе анализа необходимо применять сертифицированные ФСТЭК России средства анализа защищенности, поддерживающие Банк данных угроз безопасности информации ФСТЭК России (</w:t>
      </w:r>
      <w:hyperlink r:id="rId3">
        <w:r>
          <w:rPr>
            <w:rStyle w:val="Hyperlink"/>
            <w:bCs/>
            <w:sz w:val="24"/>
          </w:rPr>
          <w:t>https://bdu.fstec.ru/</w:t>
        </w:r>
      </w:hyperlink>
      <w:r>
        <w:rPr>
          <w:bCs/>
          <w:sz w:val="24"/>
        </w:rPr>
        <w:t>). Анализ должен проводится средствами анализа защищенности с актуальными на момент проведения работ базами-обновлениями. Результатом анализа является отчет, формируемый средством анализа защищенности. Отчет должен содержать перечень сканируемых узлов, перечень выявленных служб, перечень уязвимостей, описание выявленных уязвимостей, рекомендации по устранению уязвимостей. Анализ уязвимостей проводится для всех программно-технических средств, входящих в состав ИС. Предоставляется на бумажном носителе, утверждается Исполнителем.</w:t>
      </w:r>
    </w:p>
    <w:p>
      <w:pPr>
        <w:pStyle w:val="Normal"/>
        <w:tabs>
          <w:tab w:val="clear" w:pos="708"/>
          <w:tab w:val="left" w:pos="0" w:leader="none"/>
          <w:tab w:val="left" w:pos="284" w:leader="none"/>
        </w:tabs>
        <w:ind w:firstLine="709"/>
        <w:jc w:val="both"/>
        <w:rPr>
          <w:bCs/>
          <w:sz w:val="24"/>
        </w:rPr>
      </w:pPr>
      <w:r>
        <w:rPr>
          <w:sz w:val="24"/>
        </w:rPr>
        <w:t>Должно быть разработано Заключение по результатам аттестационных испытаний.</w:t>
      </w:r>
      <w:r>
        <w:rPr>
          <w:bCs/>
          <w:sz w:val="24"/>
        </w:rPr>
        <w:t xml:space="preserve"> Разрабатывается с учетом приказа ФСТЭК России от 29.04.2021 № 77. Предоставляется на бумажном носителе, утверждается Исполнителем.</w:t>
      </w:r>
    </w:p>
    <w:p>
      <w:pPr>
        <w:pStyle w:val="Normal"/>
        <w:tabs>
          <w:tab w:val="clear" w:pos="708"/>
          <w:tab w:val="left" w:pos="0" w:leader="none"/>
          <w:tab w:val="left" w:pos="284" w:leader="none"/>
        </w:tabs>
        <w:ind w:firstLine="709"/>
        <w:jc w:val="both"/>
        <w:rPr>
          <w:bCs/>
          <w:sz w:val="24"/>
        </w:rPr>
      </w:pPr>
      <w:r>
        <w:rPr>
          <w:sz w:val="24"/>
        </w:rPr>
        <w:t>Должен быть разработан Аттестат соответствия объекта информатизации.</w:t>
      </w:r>
      <w:r>
        <w:rPr>
          <w:bCs/>
          <w:sz w:val="24"/>
        </w:rPr>
        <w:t xml:space="preserve"> Разрабатывается с учетом приказа ФСТЭК России от 29.04.2021 № 77. Предоставляется </w:t>
        <w:br/>
        <w:t xml:space="preserve">на бумажном носителе, утверждается Исполнителем. Аттестат соответствия выдается </w:t>
        <w:br/>
        <w:t>при успешном прохождении аттестационных испытаний.</w:t>
      </w:r>
    </w:p>
    <w:p>
      <w:pPr>
        <w:pStyle w:val="ListParagraph"/>
        <w:numPr>
          <w:ilvl w:val="2"/>
          <w:numId w:val="6"/>
        </w:numPr>
        <w:tabs>
          <w:tab w:val="clear" w:pos="708"/>
          <w:tab w:val="left" w:pos="1985" w:leader="none"/>
        </w:tabs>
        <w:ind w:left="0" w:right="-45" w:firstLine="567"/>
        <w:jc w:val="both"/>
        <w:rPr>
          <w:sz w:val="24"/>
        </w:rPr>
      </w:pPr>
      <w:r>
        <w:rPr>
          <w:sz w:val="24"/>
        </w:rPr>
        <w:t>Поставка средств защиты информации</w:t>
      </w:r>
    </w:p>
    <w:p>
      <w:pPr>
        <w:pStyle w:val="Normal"/>
        <w:tabs>
          <w:tab w:val="clear" w:pos="708"/>
          <w:tab w:val="left" w:pos="0" w:leader="none"/>
          <w:tab w:val="left" w:pos="284" w:leader="none"/>
        </w:tabs>
        <w:ind w:firstLine="709"/>
        <w:jc w:val="both"/>
        <w:rPr>
          <w:bCs/>
          <w:sz w:val="24"/>
        </w:rPr>
      </w:pPr>
      <w:r>
        <w:rPr>
          <w:bCs/>
          <w:sz w:val="24"/>
        </w:rPr>
        <w:t>Поставляемое программное обеспечение должно быть новым (не бывшем в эксплуатации) и включать в себя полный комплект, поставляемый производителем.</w:t>
      </w:r>
    </w:p>
    <w:p>
      <w:pPr>
        <w:pStyle w:val="Normal"/>
        <w:tabs>
          <w:tab w:val="clear" w:pos="708"/>
          <w:tab w:val="left" w:pos="0" w:leader="none"/>
          <w:tab w:val="left" w:pos="284" w:leader="none"/>
        </w:tabs>
        <w:ind w:firstLine="709"/>
        <w:jc w:val="both"/>
        <w:rPr>
          <w:bCs/>
          <w:sz w:val="24"/>
        </w:rPr>
      </w:pPr>
      <w:r>
        <w:rPr>
          <w:bCs/>
          <w:sz w:val="24"/>
        </w:rPr>
        <w:t xml:space="preserve">Неисключительные права на программное обеспечение должны быть оформлены на </w:t>
      </w:r>
    </w:p>
    <w:p>
      <w:pPr>
        <w:pStyle w:val="Normal"/>
        <w:widowControl w:val="false"/>
        <w:rPr/>
      </w:pPr>
      <w:r>
        <w:rPr>
          <w:rFonts w:eastAsia="MS Mincho;ＭＳ 明朝" w:cs="Times New Roman"/>
          <w:b/>
          <w:bCs/>
          <w:color w:val="auto"/>
          <w:sz w:val="24"/>
          <w:szCs w:val="24"/>
          <w:lang w:bidi="ar-SA"/>
        </w:rPr>
        <w:t>Акционерное общество «Дальневосточная распределительная   сетевая компания»</w:t>
      </w:r>
    </w:p>
    <w:p>
      <w:pPr>
        <w:pStyle w:val="Normal"/>
        <w:widowControl w:val="false"/>
        <w:rPr/>
      </w:pPr>
      <w:r>
        <w:rPr>
          <w:rFonts w:eastAsia="MS Mincho;ＭＳ 明朝" w:cs="Times New Roman"/>
          <w:b w:val="false"/>
          <w:bCs/>
          <w:color w:val="auto"/>
          <w:sz w:val="24"/>
          <w:szCs w:val="24"/>
          <w:lang w:bidi="ar-SA"/>
        </w:rPr>
        <w:t>Сокращенное наименование: АО «ДРСК» ИНН 2801108200 КПП 272402001.</w:t>
      </w:r>
    </w:p>
    <w:p>
      <w:pPr>
        <w:pStyle w:val="ListParagraph"/>
        <w:tabs>
          <w:tab w:val="clear" w:pos="708"/>
          <w:tab w:val="left" w:pos="1418" w:leader="none"/>
        </w:tabs>
        <w:spacing w:before="0" w:after="0"/>
        <w:ind w:left="0" w:firstLine="709"/>
        <w:contextualSpacing w:val="false"/>
        <w:jc w:val="both"/>
        <w:rPr>
          <w:sz w:val="24"/>
        </w:rPr>
      </w:pPr>
      <w:r>
        <w:rPr>
          <w:sz w:val="24"/>
        </w:rPr>
        <w:t>Техническая поддержка, поставляемая в рамках настоящего технического задания, осуществляется производителем программных средств и должна действовать 1 год.</w:t>
      </w:r>
    </w:p>
    <w:p>
      <w:pPr>
        <w:pStyle w:val="ListParagraph"/>
        <w:numPr>
          <w:ilvl w:val="0"/>
          <w:numId w:val="6"/>
        </w:numPr>
        <w:spacing w:before="120" w:after="0"/>
        <w:contextualSpacing/>
        <w:jc w:val="both"/>
        <w:rPr>
          <w:sz w:val="24"/>
          <w:lang w:eastAsia="ar-SA"/>
        </w:rPr>
      </w:pPr>
      <w:r>
        <w:rPr>
          <w:sz w:val="24"/>
          <w:lang w:eastAsia="ar-SA"/>
        </w:rPr>
        <w:t>Перечень нормативно-правовых документов, используемых Исполнителем при оказании услуг:</w:t>
      </w:r>
    </w:p>
    <w:p>
      <w:pPr>
        <w:pStyle w:val="Normal"/>
        <w:tabs>
          <w:tab w:val="clear" w:pos="708"/>
          <w:tab w:val="left" w:pos="0" w:leader="none"/>
          <w:tab w:val="left" w:pos="284" w:leader="none"/>
        </w:tabs>
        <w:ind w:firstLine="720"/>
        <w:jc w:val="both"/>
        <w:rPr>
          <w:color w:val="000000"/>
          <w:sz w:val="24"/>
          <w:lang w:eastAsia="ar-SA"/>
        </w:rPr>
      </w:pPr>
      <w:r>
        <w:rPr>
          <w:bCs/>
          <w:sz w:val="24"/>
        </w:rPr>
        <w:t xml:space="preserve">– </w:t>
      </w:r>
      <w:r>
        <w:rPr>
          <w:color w:val="000000"/>
          <w:sz w:val="24"/>
          <w:lang w:eastAsia="ar-SA"/>
        </w:rPr>
        <w:t>Федеральный закон от 27.07.2006 № 149-ФЗ «Об информации, информационных технологиях и о защите информации»;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Указ Президента РФ от 06.03.1997 № 188 «Об утверждении Перечня сведений конфиденциального характера»;</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Указ Президента РФ от 16.08.2004 N 1085 "Вопросы Федеральной службы </w:t>
        <w:br/>
        <w:t>по техническому и экспортному контролю" (Выписка);</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bookmarkStart w:id="1" w:name="_Hlk230950468"/>
      <w:r>
        <w:rPr>
          <w:color w:val="000000"/>
          <w:sz w:val="24"/>
          <w:lang w:eastAsia="ar-SA"/>
        </w:rPr>
        <w:t>методический документ ФСТЭК России от «12» апреля 2026 года «Состав и содержание мероприятий и мер по защите информации, содержащейся в информационных системах»</w:t>
      </w:r>
      <w:bookmarkEnd w:id="1"/>
      <w:r>
        <w:rPr>
          <w:color w:val="000000"/>
          <w:sz w:val="24"/>
          <w:lang w:eastAsia="ar-SA"/>
        </w:rPr>
        <w:t>;</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bookmarkStart w:id="2" w:name="_Hlk230950496"/>
      <w:r>
        <w:rPr>
          <w:sz w:val="24"/>
        </w:rPr>
        <w:t>приказ ФСТЭК России от «11» апреля 2025 года № 117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bookmarkEnd w:id="2"/>
      <w:r>
        <w:rPr>
          <w:sz w:val="24"/>
        </w:rPr>
        <w:t>;</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приказ ФСТЭК России от 29.04.2021 № 77 «Порядок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 </w:t>
      </w:r>
      <w:r>
        <w:rPr>
          <w:color w:val="000000"/>
          <w:sz w:val="24"/>
          <w:lang w:eastAsia="ar-SA"/>
        </w:rPr>
        <w:t>«Методический документ. Методика оценки угроз безопасности информации», утвержденный ФСТЭК России от 05.02.2021;</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банк данных угроз безопасности информации ФСТЭК России (</w:t>
      </w:r>
      <w:hyperlink r:id="rId4">
        <w:r>
          <w:rPr>
            <w:color w:val="000000"/>
            <w:sz w:val="24"/>
            <w:lang w:eastAsia="ar-SA"/>
          </w:rPr>
          <w:t>bdu.fstec.ru</w:t>
        </w:r>
      </w:hyperlink>
      <w:r>
        <w:rPr>
          <w:color w:val="000000"/>
          <w:sz w:val="24"/>
          <w:lang w:eastAsia="ar-SA"/>
        </w:rPr>
        <w:t>);</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«Методические рекомендации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утвержденные руководством </w:t>
        <w:br/>
        <w:t>8 Центра ФСБ России 31.03.2015 № 149/7/2/6-432;</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приказ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приказ Федеральной службы безопасности Российской Федерации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приказ ФАПСИ от 13.06.2001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ГОСТ РО 0043-004-2013 «Защита информации. Аттестация объектов информатизации. Программа и методики аттестационных испытаний»;</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ГОСТ Р 51624-2000 «Защита информации. Автоматизированные системы </w:t>
        <w:br/>
        <w:t>в защищенном исполнении. Общие требования»;</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ГОСТ 34.201-2020 «Информационные технологии. Комплекс стандартов </w:t>
        <w:br/>
        <w:t>на автоматизированные системы. Виды, комплектность и обозначение документов при создании автоматизированных систем»;</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ГОСТ 34.602-2020 «Информационные технологии. Комплекс стандартов </w:t>
        <w:br/>
        <w:t>на автоматизированные системы. Техническое задание на создание автоматизированной системы»;</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ГОСТ Р 51583-2014 «Защита информации. Порядок создания автоматизированных систем в защищенном исполнении. Общие положения»;</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ГОСТ Р 59792-2021 «Информационные технологии. Комплекс стандартов </w:t>
        <w:br/>
        <w:t>на автоматизированные системы. Виды испытаний автоматизированных систем»;</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ГОСТ Р 59853-2021 «Информационные технологии. Комплекс стандартов </w:t>
        <w:br/>
        <w:t>на автоматизированные системы. Автоматизированные системы. Стадии создания»;</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ГОСТ Р 59853-2021 «Информационные технологии. Комплекс стандартов </w:t>
        <w:br/>
        <w:t>на автоматизированные системы. Автоматизированные системы. Термины и определения»;</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ГОСТ Р 50922-2006 «Защита информации. Основные термины и определения»;</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ГОСТ Р 53114-2008 «Защита информации. Обеспечение информационной безопасности в организации. Основные термины и определения»;</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ГОСТ 12.2.003-91 «Система стандартов безопасности труда. Оборудование производственное. Общие требования безопасности»;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ГОСТ 12.2.007.0-75 «Система стандартов безопасности труда. Изделия электротехнические. Общие требования безопасности»;</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Правила устройства электроустановок (ПУЭ);</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ГОСТ 12.1.030-81 «Система стандартов безопасности труда. Электробезопасность. Защитное заземление. Зануление»;</w:t>
      </w:r>
    </w:p>
    <w:p>
      <w:pPr>
        <w:pStyle w:val="Normal"/>
        <w:widowControl w:val="false"/>
        <w:numPr>
          <w:ilvl w:val="0"/>
          <w:numId w:val="7"/>
        </w:numPr>
        <w:shd w:val="clear" w:color="auto" w:fill="FFFFFF"/>
        <w:tabs>
          <w:tab w:val="clear" w:pos="708"/>
          <w:tab w:val="left" w:pos="1134" w:leader="none"/>
        </w:tabs>
        <w:ind w:left="0" w:firstLine="709"/>
        <w:jc w:val="both"/>
        <w:rPr>
          <w:color w:val="000000"/>
          <w:sz w:val="24"/>
          <w:lang w:eastAsia="ar-SA"/>
        </w:rPr>
      </w:pPr>
      <w:r>
        <w:rPr>
          <w:color w:val="000000"/>
          <w:sz w:val="24"/>
          <w:lang w:eastAsia="ar-SA"/>
        </w:rPr>
        <w:t xml:space="preserve">ГОСТ 12.2.032-78 «Система стандартов безопасности труда. Рабочее место </w:t>
        <w:br/>
        <w:t>при выполнении работ сидя. Общие эргономические требования».</w:t>
      </w:r>
    </w:p>
    <w:p>
      <w:pPr>
        <w:pStyle w:val="Normal"/>
        <w:keepLines/>
        <w:numPr>
          <w:ilvl w:val="0"/>
          <w:numId w:val="0"/>
        </w:numPr>
        <w:tabs>
          <w:tab w:val="clear" w:pos="708"/>
          <w:tab w:val="left" w:pos="284" w:leader="none"/>
        </w:tabs>
        <w:ind w:left="0" w:firstLine="709"/>
        <w:jc w:val="both"/>
        <w:outlineLvl w:val="0"/>
        <w:rPr>
          <w:sz w:val="24"/>
        </w:rPr>
      </w:pPr>
      <w:r>
        <w:rPr>
          <w:sz w:val="24"/>
        </w:rPr>
        <w:t xml:space="preserve">Во всех случаях, когда в настоящем Технической части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w:t>
        <w:br/>
        <w:t xml:space="preserve">или в процессе оказания услуг, такие документы будут иметь рекомендательный характер </w:t>
        <w:br/>
        <w:t>в части, не противоречащей действующим к такому моменту нормативным актам.</w:t>
      </w:r>
    </w:p>
    <w:p>
      <w:pPr>
        <w:pStyle w:val="ListParagraph"/>
        <w:numPr>
          <w:ilvl w:val="0"/>
          <w:numId w:val="6"/>
        </w:numPr>
        <w:tabs>
          <w:tab w:val="clear" w:pos="708"/>
          <w:tab w:val="left" w:pos="851" w:leader="none"/>
          <w:tab w:val="left" w:pos="1069" w:leader="none"/>
          <w:tab w:val="left" w:pos="1134" w:leader="none"/>
          <w:tab w:val="left" w:pos="3885" w:leader="none"/>
          <w:tab w:val="left" w:pos="5670" w:leader="none"/>
        </w:tabs>
        <w:ind w:left="0" w:firstLine="709"/>
        <w:jc w:val="both"/>
        <w:rPr>
          <w:sz w:val="24"/>
        </w:rPr>
      </w:pPr>
      <w:r>
        <w:rPr>
          <w:sz w:val="24"/>
        </w:rPr>
        <w:t>Дополнительные условия</w:t>
      </w:r>
      <w:r>
        <w:rPr>
          <w:bCs/>
          <w:sz w:val="24"/>
        </w:rPr>
        <w:t xml:space="preserve"> </w:t>
      </w:r>
    </w:p>
    <w:p>
      <w:pPr>
        <w:pStyle w:val="Normal"/>
        <w:numPr>
          <w:ilvl w:val="1"/>
          <w:numId w:val="6"/>
        </w:numPr>
        <w:tabs>
          <w:tab w:val="clear" w:pos="708"/>
          <w:tab w:val="left" w:pos="1069" w:leader="none"/>
        </w:tabs>
        <w:spacing w:before="0" w:after="0"/>
        <w:ind w:left="0" w:firstLine="709"/>
        <w:contextualSpacing/>
        <w:jc w:val="both"/>
        <w:rPr>
          <w:bCs/>
          <w:sz w:val="24"/>
        </w:rPr>
      </w:pPr>
      <w:r>
        <w:rPr>
          <w:bCs/>
          <w:sz w:val="24"/>
        </w:rPr>
        <w:t>При оказании услуг Исполнителем должны быть обеспечены:</w:t>
      </w:r>
    </w:p>
    <w:p>
      <w:pPr>
        <w:pStyle w:val="Normal"/>
        <w:numPr>
          <w:ilvl w:val="0"/>
          <w:numId w:val="8"/>
        </w:numPr>
        <w:tabs>
          <w:tab w:val="clear" w:pos="708"/>
          <w:tab w:val="left" w:pos="851" w:leader="none"/>
          <w:tab w:val="left" w:pos="1134" w:leader="none"/>
        </w:tabs>
        <w:ind w:left="0" w:firstLine="709"/>
        <w:jc w:val="both"/>
        <w:rPr>
          <w:sz w:val="24"/>
        </w:rPr>
      </w:pPr>
      <w:r>
        <w:rPr>
          <w:sz w:val="24"/>
        </w:rPr>
        <w:t>конфиденциальность сведений, доступ к которым ограничен в соответствии с законодательством Российской Федерации, ставших известными в ходе оказания услуг;</w:t>
      </w:r>
    </w:p>
    <w:p>
      <w:pPr>
        <w:pStyle w:val="Normal"/>
        <w:numPr>
          <w:ilvl w:val="0"/>
          <w:numId w:val="8"/>
        </w:numPr>
        <w:tabs>
          <w:tab w:val="clear" w:pos="708"/>
          <w:tab w:val="left" w:pos="851" w:leader="none"/>
          <w:tab w:val="left" w:pos="1134" w:leader="none"/>
        </w:tabs>
        <w:ind w:left="0" w:firstLine="709"/>
        <w:jc w:val="both"/>
        <w:rPr>
          <w:sz w:val="24"/>
        </w:rPr>
      </w:pPr>
      <w:r>
        <w:rPr>
          <w:sz w:val="24"/>
        </w:rPr>
        <w:t xml:space="preserve">соблюдение требований безопасности информации в соответствии с Федеральными законами от 27 июля 2006 года № 149-ФЗ "Об информации, информационных технологиях и о защите информации", от 04.05.2011 №99-ФЗ "О лицензировании отдельных видов деятельности", нормативных документов ФСТЭК России. </w:t>
      </w:r>
    </w:p>
    <w:p>
      <w:pPr>
        <w:pStyle w:val="Normal"/>
        <w:numPr>
          <w:ilvl w:val="0"/>
          <w:numId w:val="8"/>
        </w:numPr>
        <w:tabs>
          <w:tab w:val="clear" w:pos="708"/>
          <w:tab w:val="left" w:pos="851" w:leader="none"/>
          <w:tab w:val="left" w:pos="1134" w:leader="none"/>
        </w:tabs>
        <w:spacing w:before="0" w:after="0"/>
        <w:ind w:left="0" w:firstLine="709"/>
        <w:contextualSpacing/>
        <w:jc w:val="both"/>
        <w:outlineLvl w:val="0"/>
        <w:rPr>
          <w:bCs/>
          <w:sz w:val="24"/>
        </w:rPr>
      </w:pPr>
      <w:r>
        <w:rPr>
          <w:bCs/>
          <w:sz w:val="24"/>
        </w:rPr>
        <w:t>работоспособность информационной инфраструктуры Заказчика, коммутационного оборудования, серверного оборудования, рабочих станций пользователей. В случае выявления Заказчиком неработоспособности узлов, коммутационного оборудования, программного обеспечения, периферийных устройств, Исполнитель обязуется устранить выявленную проблему в течении 2-х часов после устного обращения ответственного сотрудника Заказчика.</w:t>
      </w:r>
    </w:p>
    <w:p>
      <w:pPr>
        <w:pStyle w:val="ListParagraph"/>
        <w:numPr>
          <w:ilvl w:val="0"/>
          <w:numId w:val="6"/>
        </w:numPr>
        <w:spacing w:before="120" w:after="0"/>
        <w:ind w:left="0" w:firstLine="709"/>
        <w:contextualSpacing/>
        <w:jc w:val="both"/>
        <w:rPr>
          <w:sz w:val="24"/>
          <w:lang w:eastAsia="ar-SA"/>
        </w:rPr>
      </w:pPr>
      <w:r>
        <w:rPr>
          <w:sz w:val="24"/>
          <w:lang w:eastAsia="ar-SA"/>
        </w:rPr>
        <w:t>Требования к результатам закупки</w:t>
      </w:r>
    </w:p>
    <w:p>
      <w:pPr>
        <w:pStyle w:val="Normal"/>
        <w:tabs>
          <w:tab w:val="clear" w:pos="708"/>
          <w:tab w:val="left" w:pos="1134" w:leader="none"/>
          <w:tab w:val="left" w:pos="1701" w:leader="none"/>
        </w:tabs>
        <w:ind w:firstLine="709"/>
        <w:jc w:val="both"/>
        <w:rPr>
          <w:rFonts w:eastAsia="" w:eastAsiaTheme="minorEastAsia"/>
          <w:color w:val="000000" w:themeColor="text1"/>
          <w:sz w:val="24"/>
        </w:rPr>
      </w:pPr>
      <w:r>
        <w:rPr>
          <w:rFonts w:eastAsia="" w:eastAsiaTheme="minorEastAsia"/>
          <w:color w:val="000000" w:themeColor="text1"/>
          <w:sz w:val="24"/>
        </w:rPr>
        <w:t xml:space="preserve">Результатом закупки является </w:t>
      </w:r>
      <w:r>
        <w:rPr>
          <w:sz w:val="24"/>
        </w:rPr>
        <w:t>оказание комплекса услуг по созданию системы защиты информации и аттестации объекта информатизации</w:t>
      </w:r>
      <w:r>
        <w:rPr>
          <w:rFonts w:eastAsia="" w:eastAsiaTheme="minorEastAsia"/>
          <w:sz w:val="24"/>
        </w:rPr>
        <w:t xml:space="preserve"> </w:t>
      </w:r>
      <w:r>
        <w:rPr>
          <w:rFonts w:eastAsia="" w:eastAsiaTheme="minorEastAsia"/>
          <w:color w:val="000000" w:themeColor="text1"/>
          <w:sz w:val="24"/>
        </w:rPr>
        <w:t>в полном объеме в соответствии с требованиями Технической части.</w:t>
      </w:r>
    </w:p>
    <w:p>
      <w:pPr>
        <w:pStyle w:val="Normal"/>
        <w:tabs>
          <w:tab w:val="clear" w:pos="708"/>
          <w:tab w:val="left" w:pos="1134" w:leader="none"/>
          <w:tab w:val="left" w:pos="1701" w:leader="none"/>
        </w:tabs>
        <w:ind w:firstLine="709"/>
        <w:jc w:val="center"/>
        <w:rPr>
          <w:rFonts w:eastAsia="" w:eastAsiaTheme="minorEastAsia"/>
          <w:color w:val="000000" w:themeColor="text1"/>
          <w:sz w:val="24"/>
        </w:rPr>
      </w:pPr>
      <w:r>
        <w:rPr/>
      </w:r>
    </w:p>
    <w:sectPr>
      <w:headerReference w:type="default" r:id="rId5"/>
      <w:type w:val="nextPage"/>
      <w:pgSz w:w="11906" w:h="16838"/>
      <w:pgMar w:left="1418" w:right="567" w:gutter="0" w:header="709" w:top="851" w:footer="0"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 w:name="Times New Roman CYR">
    <w:charset w:val="01"/>
    <w:family w:val="roman"/>
    <w:pitch w:val="variable"/>
  </w:font>
  <w:font w:name="Liberation Serif">
    <w:altName w:val="Times New Roman"/>
    <w:charset w:val="01"/>
    <w:family w:val="roman"/>
    <w:pitch w:val="variable"/>
  </w:font>
  <w:font w:name="Symbol">
    <w:charset w:val="02"/>
    <w:family w:val="auto"/>
    <w:pitch w:val="default"/>
  </w:font>
  <w:font w:name="Wingdings">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91875692"/>
    </w:sdtPr>
    <w:sdtContent>
      <w:p>
        <w:pPr>
          <w:pStyle w:val="Header"/>
          <w:jc w:val="center"/>
          <w:rPr>
            <w:sz w:val="24"/>
          </w:rPr>
        </w:pPr>
        <w:r>
          <w:rPr>
            <w:sz w:val="24"/>
          </w:rPr>
          <w:fldChar w:fldCharType="begin"/>
        </w:r>
        <w:r>
          <w:rPr>
            <w:sz w:val="24"/>
          </w:rPr>
          <w:instrText xml:space="preserve"> PAGE </w:instrText>
        </w:r>
        <w:r>
          <w:rPr>
            <w:sz w:val="24"/>
          </w:rPr>
          <w:fldChar w:fldCharType="separate"/>
        </w:r>
        <w:r>
          <w:rPr>
            <w:sz w:val="24"/>
          </w:rPr>
          <w:t>7</w:t>
        </w:r>
        <w:r>
          <w:rPr>
            <w:sz w:val="24"/>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429" w:hanging="360"/>
      </w:pPr>
      <w:rPr>
        <w:rFonts w:ascii="Symbol" w:hAnsi="Symbol" w:cs="Symbol" w:hint="default"/>
      </w:rPr>
    </w:lvl>
    <w:lvl w:ilvl="1">
      <w:start w:val="1"/>
      <w:numFmt w:val="bullet"/>
      <w:lvlText w:val=""/>
      <w:lvlJc w:val="left"/>
      <w:pPr>
        <w:tabs>
          <w:tab w:val="num" w:pos="0"/>
        </w:tabs>
        <w:ind w:left="2149" w:hanging="360"/>
      </w:pPr>
      <w:rPr>
        <w:rFonts w:ascii="Wingdings" w:hAnsi="Wingdings" w:cs="Wingdings"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hanging="0"/>
      </w:pPr>
      <w:rPr>
        <w:smallCaps w:val="false"/>
        <w:caps w:val="false"/>
        <w:dstrike w:val="false"/>
        <w:strike w:val="false"/>
        <w:vertAlign w:val="baseline"/>
        <w:position w:val="0"/>
        <w:sz w:val="22"/>
        <w:sz w:val="22"/>
        <w:i w:val="false"/>
        <w:u w:val="none"/>
        <w:b w:val="false"/>
        <w:vanish w:val="false"/>
        <w:rFonts w:ascii="Times New Roman" w:hAnsi="Times New Roman"/>
      </w:rPr>
    </w:lvl>
    <w:lvl w:ilvl="2">
      <w:start w:val="1"/>
      <w:numFmt w:val="decimal"/>
      <w:lvlText w:val="%1.%2.%3"/>
      <w:lvlJc w:val="left"/>
      <w:pPr>
        <w:tabs>
          <w:tab w:val="num" w:pos="0"/>
        </w:tabs>
        <w:ind w:left="0" w:hanging="0"/>
      </w:pPr>
      <w:rPr>
        <w:smallCaps w:val="false"/>
        <w:caps w:val="false"/>
        <w:dstrike w:val="false"/>
        <w:strike w:val="false"/>
        <w:vertAlign w:val="baseline"/>
        <w:position w:val="0"/>
        <w:sz w:val="22"/>
        <w:sz w:val="22"/>
        <w:i w:val="false"/>
        <w:u w:val="none"/>
        <w:b w:val="false"/>
        <w:vanish w:val="false"/>
        <w:rFonts w:ascii="Times New Roman" w:hAnsi="Times New Roman"/>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lowerRoman"/>
      <w:lvlText w:val="%6."/>
      <w:lvlJc w:val="right"/>
      <w:pPr>
        <w:tabs>
          <w:tab w:val="num" w:pos="0"/>
        </w:tabs>
        <w:ind w:left="0" w:hanging="0"/>
      </w:pPr>
      <w:rPr/>
    </w:lvl>
    <w:lvl w:ilvl="6">
      <w:start w:val="1"/>
      <w:numFmt w:val="decimal"/>
      <w:lvlText w:val="%7."/>
      <w:lvlJc w:val="left"/>
      <w:pPr>
        <w:tabs>
          <w:tab w:val="num" w:pos="0"/>
        </w:tabs>
        <w:ind w:left="0" w:hanging="0"/>
      </w:pPr>
      <w:rPr/>
    </w:lvl>
    <w:lvl w:ilvl="7">
      <w:start w:val="1"/>
      <w:numFmt w:val="lowerLetter"/>
      <w:lvlText w:val="%8."/>
      <w:lvlJc w:val="left"/>
      <w:pPr>
        <w:tabs>
          <w:tab w:val="num" w:pos="0"/>
        </w:tabs>
        <w:ind w:left="0" w:hanging="0"/>
      </w:pPr>
      <w:rPr/>
    </w:lvl>
    <w:lvl w:ilvl="8">
      <w:start w:val="1"/>
      <w:numFmt w:val="lowerRoman"/>
      <w:lvlText w:val="%9."/>
      <w:lvlJc w:val="right"/>
      <w:pPr>
        <w:tabs>
          <w:tab w:val="num" w:pos="0"/>
        </w:tabs>
        <w:ind w:left="0" w:hanging="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858"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786" w:hanging="360"/>
      </w:pPr>
      <w:rPr>
        <w:b w:val="false"/>
      </w:rPr>
    </w:lvl>
    <w:lvl w:ilvl="1">
      <w:start w:val="1"/>
      <w:numFmt w:val="decimal"/>
      <w:lvlText w:val="%1.%2."/>
      <w:lvlJc w:val="left"/>
      <w:pPr>
        <w:tabs>
          <w:tab w:val="num" w:pos="0"/>
        </w:tabs>
        <w:ind w:left="720" w:hanging="360"/>
      </w:pPr>
      <w:rPr/>
    </w:lvl>
    <w:lvl w:ilvl="2">
      <w:start w:val="1"/>
      <w:numFmt w:val="decimal"/>
      <w:suff w:val="space"/>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858"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46fb"/>
    <w:pPr>
      <w:widowControl/>
      <w:suppressAutoHyphens w:val="true"/>
      <w:bidi w:val="0"/>
      <w:spacing w:before="0" w:after="0"/>
      <w:jc w:val="left"/>
    </w:pPr>
    <w:rPr>
      <w:rFonts w:ascii="Times New Roman" w:hAnsi="Times New Roman" w:eastAsia="Times New Roman" w:cs="Times New Roman"/>
      <w:color w:val="auto"/>
      <w:kern w:val="0"/>
      <w:sz w:val="28"/>
      <w:szCs w:val="24"/>
      <w:lang w:val="ru-RU" w:eastAsia="ru-RU" w:bidi="ar-SA"/>
    </w:rPr>
  </w:style>
  <w:style w:type="character" w:styleId="DefaultParagraphFont" w:default="1">
    <w:name w:val="Default Paragraph Font"/>
    <w:uiPriority w:val="1"/>
    <w:semiHidden/>
    <w:unhideWhenUsed/>
    <w:qFormat/>
    <w:rPr/>
  </w:style>
  <w:style w:type="character" w:styleId="Style9" w:customStyle="1">
    <w:name w:val="Абзац списка Знак"/>
    <w:basedOn w:val="DefaultParagraphFont"/>
    <w:link w:val="ListParagraph"/>
    <w:uiPriority w:val="34"/>
    <w:qFormat/>
    <w:locked/>
    <w:rsid w:val="008d46fb"/>
    <w:rPr>
      <w:rFonts w:ascii="Times New Roman" w:hAnsi="Times New Roman" w:eastAsia="Times New Roman" w:cs="Times New Roman"/>
      <w:sz w:val="28"/>
      <w:szCs w:val="24"/>
      <w:lang w:eastAsia="ru-RU"/>
    </w:rPr>
  </w:style>
  <w:style w:type="character" w:styleId="ConsNormal" w:customStyle="1">
    <w:name w:val="ConsNormal Знак"/>
    <w:link w:val="ConsNormal1"/>
    <w:qFormat/>
    <w:rsid w:val="008d46fb"/>
    <w:rPr>
      <w:rFonts w:ascii="Arial" w:hAnsi="Arial" w:eastAsia="Calibri" w:cs="Arial"/>
      <w:sz w:val="20"/>
      <w:szCs w:val="20"/>
      <w:lang w:eastAsia="ru-RU"/>
    </w:rPr>
  </w:style>
  <w:style w:type="character" w:styleId="Style10" w:customStyle="1">
    <w:name w:val="_Маском (Таблица ШАПКА) Знак"/>
    <w:basedOn w:val="DefaultParagraphFont"/>
    <w:link w:val="Style19"/>
    <w:qFormat/>
    <w:rsid w:val="008d46fb"/>
    <w:rPr>
      <w:rFonts w:ascii="Times New Roman" w:hAnsi="Times New Roman" w:cs="Times New Roman"/>
      <w:lang w:eastAsia="ru-RU"/>
    </w:rPr>
  </w:style>
  <w:style w:type="character" w:styleId="Style11" w:customStyle="1">
    <w:name w:val="_Маском (Таблица ТЕКСТ ЦЕНТР) Знак"/>
    <w:basedOn w:val="DefaultParagraphFont"/>
    <w:link w:val="Style20"/>
    <w:qFormat/>
    <w:rsid w:val="008d46fb"/>
    <w:rPr>
      <w:rFonts w:ascii="Times New Roman" w:hAnsi="Times New Roman" w:cs="Times New Roman"/>
    </w:rPr>
  </w:style>
  <w:style w:type="character" w:styleId="Style12" w:customStyle="1">
    <w:name w:val="_Маском (Таблица НУМЕРАЦИЯ СТРОК) Знак"/>
    <w:basedOn w:val="DefaultParagraphFont"/>
    <w:link w:val="Style21"/>
    <w:qFormat/>
    <w:rsid w:val="008d46fb"/>
    <w:rPr>
      <w:rFonts w:ascii="Times New Roman" w:hAnsi="Times New Roman" w:cs="Times New Roman"/>
    </w:rPr>
  </w:style>
  <w:style w:type="character" w:styleId="Style13" w:customStyle="1">
    <w:name w:val="Верхний колонтитул Знак"/>
    <w:basedOn w:val="DefaultParagraphFont"/>
    <w:uiPriority w:val="99"/>
    <w:qFormat/>
    <w:rsid w:val="00c80b19"/>
    <w:rPr>
      <w:rFonts w:ascii="Times New Roman" w:hAnsi="Times New Roman" w:eastAsia="Times New Roman" w:cs="Times New Roman"/>
      <w:sz w:val="28"/>
      <w:szCs w:val="24"/>
      <w:lang w:eastAsia="ru-RU"/>
    </w:rPr>
  </w:style>
  <w:style w:type="character" w:styleId="Style14" w:customStyle="1">
    <w:name w:val="Нижний колонтитул Знак"/>
    <w:basedOn w:val="DefaultParagraphFont"/>
    <w:uiPriority w:val="99"/>
    <w:qFormat/>
    <w:rsid w:val="00c80b19"/>
    <w:rPr>
      <w:rFonts w:ascii="Times New Roman" w:hAnsi="Times New Roman" w:eastAsia="Times New Roman" w:cs="Times New Roman"/>
      <w:sz w:val="28"/>
      <w:szCs w:val="24"/>
      <w:lang w:eastAsia="ru-RU"/>
    </w:rPr>
  </w:style>
  <w:style w:type="character" w:styleId="Hyperlink">
    <w:name w:val="Hyperlink"/>
    <w:basedOn w:val="DefaultParagraphFont"/>
    <w:uiPriority w:val="99"/>
    <w:unhideWhenUsed/>
    <w:rsid w:val="00d2194c"/>
    <w:rPr>
      <w:color w:val="0000FF" w:themeColor="hyperlink"/>
      <w:u w:val="single"/>
    </w:rPr>
  </w:style>
  <w:style w:type="character" w:styleId="Style15" w:customStyle="1">
    <w:name w:val="Текст выноски Знак"/>
    <w:basedOn w:val="DefaultParagraphFont"/>
    <w:link w:val="BalloonText"/>
    <w:uiPriority w:val="99"/>
    <w:semiHidden/>
    <w:qFormat/>
    <w:rsid w:val="00333731"/>
    <w:rPr>
      <w:rFonts w:ascii="Segoe UI" w:hAnsi="Segoe UI" w:eastAsia="Times New Roman" w:cs="Segoe UI"/>
      <w:sz w:val="18"/>
      <w:szCs w:val="18"/>
      <w:lang w:eastAsia="ru-RU"/>
    </w:rPr>
  </w:style>
  <w:style w:type="character" w:styleId="Style16" w:customStyle="1">
    <w:name w:val="Заголовок Знак"/>
    <w:basedOn w:val="DefaultParagraphFont"/>
    <w:qFormat/>
    <w:rsid w:val="00d268e3"/>
    <w:rPr>
      <w:rFonts w:ascii="Times New Roman" w:hAnsi="Times New Roman" w:eastAsia="Times New Roman" w:cs="Times New Roman"/>
      <w:b/>
      <w:bCs/>
      <w:sz w:val="28"/>
      <w:szCs w:val="28"/>
      <w:lang w:eastAsia="ru-RU"/>
    </w:rPr>
  </w:style>
  <w:style w:type="character" w:styleId="UnresolvedMention">
    <w:name w:val="Unresolved Mention"/>
    <w:basedOn w:val="DefaultParagraphFont"/>
    <w:uiPriority w:val="99"/>
    <w:semiHidden/>
    <w:unhideWhenUsed/>
    <w:qFormat/>
    <w:rsid w:val="0052026e"/>
    <w:rPr>
      <w:color w:val="605E5C"/>
      <w:shd w:fill="E1DFDD" w:val="clear"/>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ListParagraph">
    <w:name w:val="List Paragraph"/>
    <w:basedOn w:val="Normal"/>
    <w:link w:val="Style9"/>
    <w:uiPriority w:val="34"/>
    <w:qFormat/>
    <w:rsid w:val="008d46fb"/>
    <w:pPr>
      <w:spacing w:before="0" w:after="0"/>
      <w:ind w:left="720" w:hanging="0"/>
      <w:contextualSpacing/>
    </w:pPr>
    <w:rPr/>
  </w:style>
  <w:style w:type="paragraph" w:styleId="1" w:customStyle="1">
    <w:name w:val="_Маркировка 1"/>
    <w:basedOn w:val="Normal"/>
    <w:qFormat/>
    <w:rsid w:val="008d46fb"/>
    <w:pPr>
      <w:numPr>
        <w:ilvl w:val="0"/>
        <w:numId w:val="2"/>
      </w:numPr>
      <w:spacing w:lineRule="auto" w:line="360" w:before="0" w:after="40"/>
      <w:ind w:right="283" w:hanging="0"/>
      <w:jc w:val="both"/>
    </w:pPr>
    <w:rPr>
      <w:rFonts w:eastAsia="Calibri"/>
      <w:sz w:val="24"/>
      <w:lang w:eastAsia="en-US"/>
    </w:rPr>
  </w:style>
  <w:style w:type="paragraph" w:styleId="2" w:customStyle="1">
    <w:name w:val="_Маркировка 2"/>
    <w:basedOn w:val="Normal"/>
    <w:qFormat/>
    <w:rsid w:val="008d46fb"/>
    <w:pPr>
      <w:numPr>
        <w:ilvl w:val="1"/>
        <w:numId w:val="2"/>
      </w:numPr>
      <w:spacing w:lineRule="auto" w:line="360" w:before="0" w:after="40"/>
      <w:ind w:right="283" w:hanging="0"/>
      <w:jc w:val="both"/>
    </w:pPr>
    <w:rPr>
      <w:rFonts w:eastAsia="Calibri"/>
      <w:sz w:val="24"/>
      <w:lang w:eastAsia="en-US"/>
    </w:rPr>
  </w:style>
  <w:style w:type="paragraph" w:styleId="ConsNormal1" w:customStyle="1">
    <w:name w:val="ConsNormal"/>
    <w:link w:val="ConsNormal"/>
    <w:qFormat/>
    <w:rsid w:val="008d46fb"/>
    <w:pPr>
      <w:widowControl w:val="false"/>
      <w:suppressAutoHyphens w:val="true"/>
      <w:bidi w:val="0"/>
      <w:spacing w:before="0" w:after="0"/>
      <w:ind w:left="709" w:right="19772" w:firstLine="720"/>
      <w:jc w:val="both"/>
    </w:pPr>
    <w:rPr>
      <w:rFonts w:ascii="Arial" w:hAnsi="Arial" w:eastAsia="Calibri" w:cs="Arial" w:eastAsiaTheme="minorHAnsi"/>
      <w:color w:val="auto"/>
      <w:kern w:val="0"/>
      <w:sz w:val="20"/>
      <w:szCs w:val="20"/>
      <w:lang w:val="ru-RU" w:eastAsia="ru-RU" w:bidi="ar-SA"/>
    </w:rPr>
  </w:style>
  <w:style w:type="paragraph" w:styleId="Style19" w:customStyle="1">
    <w:name w:val="_Маском (Таблица ШАПКА)"/>
    <w:basedOn w:val="Normal"/>
    <w:next w:val="Normal"/>
    <w:link w:val="Style10"/>
    <w:qFormat/>
    <w:rsid w:val="008d46fb"/>
    <w:pPr>
      <w:tabs>
        <w:tab w:val="clear" w:pos="708"/>
        <w:tab w:val="left" w:pos="1134" w:leader="none"/>
      </w:tabs>
      <w:jc w:val="center"/>
    </w:pPr>
    <w:rPr>
      <w:rFonts w:eastAsia="Calibri" w:eastAsiaTheme="minorHAnsi"/>
      <w:sz w:val="22"/>
      <w:szCs w:val="22"/>
    </w:rPr>
  </w:style>
  <w:style w:type="paragraph" w:styleId="Style20" w:customStyle="1">
    <w:name w:val="_Маском (Таблица ТЕКСТ ЦЕНТР)"/>
    <w:basedOn w:val="Normal"/>
    <w:link w:val="Style11"/>
    <w:qFormat/>
    <w:rsid w:val="008d46fb"/>
    <w:pPr>
      <w:tabs>
        <w:tab w:val="clear" w:pos="708"/>
        <w:tab w:val="left" w:pos="1134" w:leader="none"/>
      </w:tabs>
      <w:jc w:val="center"/>
    </w:pPr>
    <w:rPr>
      <w:rFonts w:eastAsia="Calibri" w:eastAsiaTheme="minorHAnsi"/>
      <w:sz w:val="22"/>
      <w:szCs w:val="22"/>
      <w:lang w:eastAsia="en-US"/>
    </w:rPr>
  </w:style>
  <w:style w:type="paragraph" w:styleId="Style21" w:customStyle="1">
    <w:name w:val="_Маском (Таблица НУМЕРАЦИЯ СТРОК)"/>
    <w:basedOn w:val="Normal"/>
    <w:link w:val="Style12"/>
    <w:uiPriority w:val="99"/>
    <w:qFormat/>
    <w:rsid w:val="008d46fb"/>
    <w:pPr>
      <w:numPr>
        <w:ilvl w:val="0"/>
        <w:numId w:val="3"/>
      </w:numPr>
      <w:jc w:val="center"/>
    </w:pPr>
    <w:rPr>
      <w:rFonts w:eastAsia="Calibri" w:eastAsiaTheme="minorHAnsi"/>
      <w:sz w:val="22"/>
      <w:szCs w:val="22"/>
      <w:lang w:eastAsia="en-US"/>
    </w:rPr>
  </w:style>
  <w:style w:type="paragraph" w:styleId="11" w:customStyle="1">
    <w:name w:val="_Маском (Таблица НУМЕРАЦИЯ СТРОК 1 ур.)"/>
    <w:basedOn w:val="Normal"/>
    <w:qFormat/>
    <w:rsid w:val="008d46fb"/>
    <w:pPr>
      <w:numPr>
        <w:ilvl w:val="0"/>
        <w:numId w:val="4"/>
      </w:numPr>
    </w:pPr>
    <w:rPr>
      <w:rFonts w:eastAsia="Calibri" w:eastAsiaTheme="minorHAnsi"/>
      <w:sz w:val="22"/>
      <w:szCs w:val="22"/>
      <w:lang w:eastAsia="en-US"/>
    </w:rPr>
  </w:style>
  <w:style w:type="paragraph" w:styleId="21" w:customStyle="1">
    <w:name w:val="_Маском (Таблица НУМЕРАЦИЯ СТРОК 2 ур.)"/>
    <w:basedOn w:val="11"/>
    <w:qFormat/>
    <w:rsid w:val="008d46fb"/>
    <w:pPr>
      <w:numPr>
        <w:ilvl w:val="1"/>
      </w:numPr>
    </w:pPr>
    <w:rPr/>
  </w:style>
  <w:style w:type="paragraph" w:styleId="3" w:customStyle="1">
    <w:name w:val="_Маском (Таблица НУМЕРАЦИЯ СТРОК 3 ур.)"/>
    <w:basedOn w:val="11"/>
    <w:qFormat/>
    <w:rsid w:val="008d46fb"/>
    <w:pPr>
      <w:numPr>
        <w:ilvl w:val="2"/>
      </w:numPr>
    </w:pPr>
    <w:rPr/>
  </w:style>
  <w:style w:type="paragraph" w:styleId="Style22">
    <w:name w:val="Колонтитул"/>
    <w:basedOn w:val="Normal"/>
    <w:qFormat/>
    <w:pPr/>
    <w:rPr/>
  </w:style>
  <w:style w:type="paragraph" w:styleId="Header">
    <w:name w:val="Header"/>
    <w:basedOn w:val="Normal"/>
    <w:link w:val="Style13"/>
    <w:uiPriority w:val="99"/>
    <w:unhideWhenUsed/>
    <w:rsid w:val="00c80b19"/>
    <w:pPr>
      <w:tabs>
        <w:tab w:val="clear" w:pos="708"/>
        <w:tab w:val="center" w:pos="4677" w:leader="none"/>
        <w:tab w:val="right" w:pos="9355" w:leader="none"/>
      </w:tabs>
    </w:pPr>
    <w:rPr/>
  </w:style>
  <w:style w:type="paragraph" w:styleId="Footer">
    <w:name w:val="Footer"/>
    <w:basedOn w:val="Normal"/>
    <w:link w:val="Style14"/>
    <w:uiPriority w:val="99"/>
    <w:unhideWhenUsed/>
    <w:rsid w:val="00c80b19"/>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333731"/>
    <w:pPr/>
    <w:rPr>
      <w:rFonts w:ascii="Segoe UI" w:hAnsi="Segoe UI" w:cs="Segoe UI"/>
      <w:sz w:val="18"/>
      <w:szCs w:val="18"/>
    </w:rPr>
  </w:style>
  <w:style w:type="paragraph" w:styleId="Title">
    <w:name w:val="Title"/>
    <w:basedOn w:val="Normal"/>
    <w:link w:val="Style16"/>
    <w:qFormat/>
    <w:rsid w:val="00d268e3"/>
    <w:pPr>
      <w:widowControl w:val="false"/>
      <w:jc w:val="center"/>
    </w:pPr>
    <w:rPr>
      <w:b/>
      <w:bCs/>
      <w:szCs w:val="28"/>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du.fstec.ru/" TargetMode="External"/><Relationship Id="rId3" Type="http://schemas.openxmlformats.org/officeDocument/2006/relationships/hyperlink" Target="https://bdu.fstec.ru/" TargetMode="External"/><Relationship Id="rId4" Type="http://schemas.openxmlformats.org/officeDocument/2006/relationships/hyperlink" Target="http://www.bdu.fstec.ru/"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Application>AlterOffice/2025.3.1.0$Linux_X86_64 LibreOffice_project/431cd1b79110582f53535c95ed0a2449aadc8bf9</Application>
  <AppVersion>15.0000</AppVersion>
  <Pages>7</Pages>
  <Words>2392</Words>
  <Characters>17659</Characters>
  <CharactersWithSpaces>19931</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2024-08-05T00:45:00Z</dcterms:created>
  <dc:creator>savkovaev</dc:creator>
  <dc:description/>
  <dc:language>ru-RU</dc:language>
  <cp:lastModifiedBy>mileshina_av</cp:lastModifiedBy>
  <cp:lastPrinted>2026-06-01T08:16:39Z</cp:lastPrinted>
  <dcterms:modified xsi:type="dcterms:W3CDTF">2026-06-01T09:23:32Z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