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2"/>
      <w:bookmarkStart w:id="1" w:name="OLE_LINK1"/>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31.12.2026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2</w:t>
      </w:r>
      <w:r>
        <w:rPr>
          <w:shd w:fill="FFFF00" w:val="clear"/>
          <w:lang w:val="ru-RU"/>
        </w:rPr>
        <w:t>11</w:t>
      </w:r>
      <w:r>
        <w:rPr>
          <w:shd w:fill="FFFF00" w:val="clear"/>
          <w:lang w:val="ru-RU"/>
        </w:rPr>
        <w:t> </w:t>
      </w:r>
      <w:r>
        <w:rPr>
          <w:shd w:fill="FFFF00" w:val="clear"/>
          <w:lang w:val="ru-RU"/>
        </w:rPr>
        <w:t>562</w:t>
      </w:r>
      <w:r>
        <w:rPr>
          <w:shd w:fill="FFFF00" w:val="clear"/>
          <w:lang w:val="ru-RU"/>
        </w:rPr>
        <w:t xml:space="preserve"> (двести </w:t>
      </w:r>
      <w:r>
        <w:rPr>
          <w:shd w:fill="FFFF00" w:val="clear"/>
          <w:lang w:val="ru-RU"/>
        </w:rPr>
        <w:t>одиннадцать тысяч пятьсот шестьдесят два</w:t>
      </w:r>
      <w:r>
        <w:rPr>
          <w:shd w:fill="FFFF00" w:val="clear"/>
          <w:lang w:val="ru-RU"/>
        </w:rPr>
        <w:t>)</w:t>
      </w:r>
      <w:r>
        <w:rPr>
          <w:lang w:val="ru-RU"/>
        </w:rPr>
        <w:t xml:space="preserve"> рубл</w:t>
      </w:r>
      <w:r>
        <w:rPr>
          <w:lang w:val="ru-RU"/>
        </w:rPr>
        <w:t>я</w:t>
      </w:r>
      <w:r>
        <w:rPr>
          <w:lang w:val="ru-RU"/>
        </w:rPr>
        <w:t xml:space="preserve"> </w:t>
      </w:r>
      <w:r>
        <w:rPr>
          <w:shd w:fill="FFFF00" w:val="clear"/>
          <w:lang w:val="ru-RU"/>
        </w:rPr>
        <w:t>15</w:t>
      </w:r>
      <w:r>
        <w:rPr>
          <w:shd w:fill="FFFF00" w:val="clear"/>
          <w:lang w:val="ru-RU"/>
        </w:rPr>
        <w:t xml:space="preserve"> (</w:t>
      </w:r>
      <w:r>
        <w:rPr>
          <w:shd w:fill="FFFF00" w:val="clear"/>
          <w:lang w:val="ru-RU"/>
        </w:rPr>
        <w:t>пятнадцать</w:t>
      </w:r>
      <w:r>
        <w:rPr>
          <w:shd w:fill="FFFF00" w:val="clear"/>
          <w:lang w:val="ru-RU"/>
        </w:rPr>
        <w:t>)</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b/>
          <w:bCs/>
          <w:i w:val="false"/>
          <w:i w:val="false"/>
          <w:iCs w:val="false"/>
        </w:rPr>
      </w:pPr>
      <w:r>
        <w:rPr>
          <w:rFonts w:eastAsia="Calibri"/>
          <w:b/>
          <w:bCs/>
          <w:i w:val="false"/>
          <w:iCs w:val="false"/>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jc w:val="center"/>
        <w:rPr>
          <w:rFonts w:eastAsia="Calibri"/>
          <w:b/>
          <w:bCs/>
          <w:i w:val="false"/>
          <w:i w:val="false"/>
          <w:iCs w:val="false"/>
        </w:rPr>
      </w:pPr>
      <w:r>
        <w:rPr>
          <w:rFonts w:eastAsia="Calibri"/>
          <w:b/>
          <w:bCs/>
          <w:i w:val="false"/>
          <w:iCs w:val="false"/>
        </w:rPr>
      </w:r>
    </w:p>
    <w:p>
      <w:pPr>
        <w:pStyle w:val="Normal"/>
        <w:keepNext w:val="true"/>
        <w:keepLines/>
        <w:jc w:val="center"/>
        <w:rPr>
          <w:b/>
          <w:bCs/>
          <w:i w:val="false"/>
          <w:i w:val="false"/>
          <w:iCs w:val="false"/>
        </w:rPr>
      </w:pPr>
      <w:r>
        <w:rPr>
          <w:rFonts w:eastAsia="Calibri"/>
          <w:b/>
          <w:bCs/>
          <w:i w:val="false"/>
          <w:iCs w:val="false"/>
        </w:rPr>
        <w:t>Лот № 8137-ЭКСП ПРОД-2026-Влад ТК РусГидро АО</w:t>
      </w:r>
    </w:p>
    <w:p>
      <w:pPr>
        <w:pStyle w:val="Normal"/>
        <w:rPr>
          <w:sz w:val="26"/>
          <w:szCs w:val="26"/>
        </w:rPr>
      </w:pPr>
      <w:r>
        <w:rPr>
          <w:sz w:val="26"/>
          <w:szCs w:val="26"/>
        </w:rPr>
      </w:r>
    </w:p>
    <w:sdt>
      <w:sdtPr>
        <w:docPartObj>
          <w:docPartGallery w:val="Table of Contents"/>
          <w:docPartUnique w:val="true"/>
        </w:docPartObj>
      </w:sdtPr>
      <w:sdtContent>
        <w:p>
          <w:pPr>
            <w:pStyle w:val="TOCHeading"/>
            <w:numPr>
              <w:ilvl w:val="0"/>
            </w:numPr>
            <w:tabs>
              <w:tab w:val="clear" w:pos="0"/>
            </w:tabs>
            <w:ind w:left="426" w:hanging="0"/>
            <w:rPr>
              <w:rFonts w:ascii="Times New Roman" w:hAnsi="Times New Roman"/>
              <w:sz w:val="24"/>
              <w:szCs w:val="24"/>
            </w:rPr>
          </w:pPr>
          <w:r>
            <w:br w:type="page"/>
          </w:r>
          <w:r>
            <w:rPr>
              <w:rFonts w:ascii="Times New Roman" w:hAnsi="Times New Roman"/>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Содержание</w:t>
          </w:r>
        </w:p>
        <w:p>
          <w:pPr>
            <w:pStyle w:val="TOC1"/>
            <w:tabs>
              <w:tab w:val="clear" w:pos="284"/>
              <w:tab w:val="clear" w:pos="9911"/>
              <w:tab w:val="right" w:pos="9921" w:leader="dot"/>
            </w:tabs>
            <w:rPr/>
          </w:pPr>
          <w:r>
            <w:fldChar w:fldCharType="begin"/>
          </w:r>
          <w:r>
            <w:rPr>
              <w:sz w:val="24"/>
              <w:szCs w:val="24"/>
            </w:rPr>
            <w:instrText xml:space="preserve"> TOC \f \o "1-9" \h</w:instrText>
          </w:r>
          <w:r>
            <w:rPr>
              <w:sz w:val="24"/>
              <w:szCs w:val="24"/>
            </w:rPr>
            <w:fldChar w:fldCharType="separate"/>
          </w:r>
          <w:r>
            <w:rPr>
              <w:sz w:val="24"/>
              <w:szCs w:val="24"/>
            </w:rPr>
            <w:t>1</w:t>
          </w:r>
          <w:hyperlink w:anchor="__RefHeading___Toc5426_315841478">
            <w:r>
              <w:rPr>
                <w:rStyle w:val="Style16"/>
                <w:sz w:val="24"/>
                <w:szCs w:val="24"/>
              </w:rPr>
              <w:t>. Общие сведения</w:t>
              <w:tab/>
              <w:t>3</w:t>
            </w:r>
          </w:hyperlink>
        </w:p>
        <w:p>
          <w:pPr>
            <w:pStyle w:val="TOC4"/>
            <w:tabs>
              <w:tab w:val="clear" w:pos="1120"/>
              <w:tab w:val="clear" w:pos="9911"/>
              <w:tab w:val="right" w:pos="9921" w:leader="dot"/>
            </w:tabs>
            <w:rPr/>
          </w:pPr>
          <w:r>
            <w:rPr>
              <w:sz w:val="24"/>
              <w:szCs w:val="24"/>
            </w:rPr>
            <w:t>1</w:t>
          </w:r>
          <w:hyperlink w:anchor="__RefHeading___Toc5428_315841478">
            <w:r>
              <w:rPr>
                <w:rStyle w:val="Style16"/>
                <w:sz w:val="24"/>
                <w:szCs w:val="24"/>
              </w:rPr>
              <w:t>.1. Наименование закупаемой продукции</w:t>
              <w:tab/>
              <w:t>3</w:t>
            </w:r>
          </w:hyperlink>
        </w:p>
        <w:p>
          <w:pPr>
            <w:pStyle w:val="TOC4"/>
            <w:tabs>
              <w:tab w:val="clear" w:pos="1120"/>
              <w:tab w:val="clear" w:pos="9911"/>
              <w:tab w:val="right" w:pos="9921" w:leader="dot"/>
            </w:tabs>
            <w:rPr/>
          </w:pPr>
          <w:r>
            <w:rPr>
              <w:sz w:val="24"/>
              <w:szCs w:val="24"/>
            </w:rPr>
            <w:t>1</w:t>
          </w:r>
          <w:hyperlink w:anchor="__RefHeading___Toc5430_315841478">
            <w:r>
              <w:rPr>
                <w:rStyle w:val="Style16"/>
                <w:sz w:val="24"/>
                <w:szCs w:val="24"/>
              </w:rPr>
              <w:t>.2. Цель оказания услуг</w:t>
              <w:tab/>
              <w:t>3</w:t>
            </w:r>
          </w:hyperlink>
        </w:p>
        <w:p>
          <w:pPr>
            <w:pStyle w:val="Normal"/>
            <w:tabs>
              <w:tab w:val="clear" w:pos="709"/>
              <w:tab w:val="right" w:pos="9921" w:leader="dot"/>
            </w:tabs>
            <w:rPr>
              <w:rFonts w:ascii="Times New Roman" w:hAnsi="Times New Roman"/>
              <w:sz w:val="24"/>
              <w:szCs w:val="24"/>
            </w:rPr>
          </w:pPr>
          <w:r>
            <w:rPr>
              <w:sz w:val="24"/>
              <w:szCs w:val="24"/>
            </w:rPr>
            <w:t>1.3. Существующее положение……………………………………………………………………………………………...3</w:t>
          </w:r>
        </w:p>
        <w:p>
          <w:pPr>
            <w:pStyle w:val="TOC1"/>
            <w:tabs>
              <w:tab w:val="clear" w:pos="284"/>
              <w:tab w:val="clear" w:pos="9911"/>
              <w:tab w:val="right" w:pos="9921" w:leader="dot"/>
            </w:tabs>
            <w:rPr/>
          </w:pPr>
          <w:hyperlink w:anchor="__RefHeading___Toc5432_315841478">
            <w:r>
              <w:rPr>
                <w:rStyle w:val="Style16"/>
                <w:sz w:val="24"/>
                <w:szCs w:val="24"/>
              </w:rPr>
              <w:t>Таблица 1. Перечень объектов заказчика</w:t>
              <w:tab/>
              <w:t>3</w:t>
            </w:r>
          </w:hyperlink>
        </w:p>
        <w:p>
          <w:pPr>
            <w:pStyle w:val="TOC1"/>
            <w:tabs>
              <w:tab w:val="clear" w:pos="284"/>
              <w:tab w:val="clear" w:pos="9911"/>
              <w:tab w:val="right" w:pos="9921" w:leader="dot"/>
            </w:tabs>
            <w:rPr/>
          </w:pPr>
          <w:r>
            <w:rPr>
              <w:sz w:val="24"/>
              <w:szCs w:val="24"/>
            </w:rPr>
            <w:t>2</w:t>
          </w:r>
          <w:hyperlink w:anchor="__RefHeading___Toc5434_315841478">
            <w:r>
              <w:rPr>
                <w:rStyle w:val="Style16"/>
                <w:sz w:val="24"/>
                <w:szCs w:val="24"/>
              </w:rPr>
              <w:t>. Требования к продукции</w:t>
              <w:tab/>
              <w:t>3</w:t>
            </w:r>
          </w:hyperlink>
        </w:p>
        <w:p>
          <w:pPr>
            <w:pStyle w:val="TOC4"/>
            <w:tabs>
              <w:tab w:val="clear" w:pos="1120"/>
              <w:tab w:val="clear" w:pos="9911"/>
              <w:tab w:val="right" w:pos="9921" w:leader="dot"/>
            </w:tabs>
            <w:rPr/>
          </w:pPr>
          <w:r>
            <w:rPr>
              <w:sz w:val="24"/>
              <w:szCs w:val="24"/>
            </w:rPr>
            <w:t>2</w:t>
          </w:r>
          <w:hyperlink w:anchor="__RefHeading___Toc5436_315841478">
            <w:r>
              <w:rPr>
                <w:rStyle w:val="Style16"/>
                <w:sz w:val="24"/>
                <w:szCs w:val="24"/>
              </w:rPr>
              <w:t>.1. Требования к объемам и срокам оказания услуг</w:t>
              <w:tab/>
              <w:t>3</w:t>
            </w:r>
          </w:hyperlink>
        </w:p>
        <w:p>
          <w:pPr>
            <w:pStyle w:val="TOC3"/>
            <w:tabs>
              <w:tab w:val="clear" w:pos="9911"/>
              <w:tab w:val="right" w:pos="9921" w:leader="dot"/>
            </w:tabs>
            <w:rPr/>
          </w:pPr>
          <w:r>
            <w:rPr>
              <w:sz w:val="24"/>
              <w:szCs w:val="24"/>
            </w:rPr>
            <w:t>2</w:t>
          </w:r>
          <w:hyperlink w:anchor="__RefHeading___Toc5438_315841478">
            <w:r>
              <w:rPr>
                <w:rStyle w:val="Style16"/>
                <w:sz w:val="24"/>
                <w:szCs w:val="24"/>
              </w:rPr>
              <w:t>.1.1. Требования к перечню и объему услуг</w:t>
              <w:tab/>
              <w:t>3</w:t>
            </w:r>
          </w:hyperlink>
        </w:p>
        <w:p>
          <w:pPr>
            <w:pStyle w:val="TOC1"/>
            <w:tabs>
              <w:tab w:val="clear" w:pos="284"/>
              <w:tab w:val="clear" w:pos="9911"/>
              <w:tab w:val="right" w:pos="9921" w:leader="dot"/>
            </w:tabs>
            <w:rPr/>
          </w:pPr>
          <w:hyperlink w:anchor="__RefHeading___Toc5440_315841478">
            <w:r>
              <w:rPr>
                <w:rStyle w:val="Style16"/>
                <w:sz w:val="24"/>
                <w:szCs w:val="24"/>
              </w:rPr>
              <w:t>Таблица 2. Перечень и объем оказываемых услуг</w:t>
              <w:tab/>
              <w:t>3</w:t>
            </w:r>
          </w:hyperlink>
        </w:p>
        <w:p>
          <w:pPr>
            <w:pStyle w:val="TOC3"/>
            <w:tabs>
              <w:tab w:val="clear" w:pos="9911"/>
              <w:tab w:val="right" w:pos="9921" w:leader="dot"/>
            </w:tabs>
            <w:rPr/>
          </w:pPr>
          <w:r>
            <w:rPr>
              <w:sz w:val="24"/>
              <w:szCs w:val="24"/>
            </w:rPr>
            <w:t>2</w:t>
          </w:r>
          <w:hyperlink w:anchor="__RefHeading___Toc5442_315841478">
            <w:r>
              <w:rPr>
                <w:rStyle w:val="Style16"/>
                <w:sz w:val="24"/>
                <w:szCs w:val="24"/>
              </w:rPr>
              <w:t>.1.2. Требования к срокам оказания услуг</w:t>
              <w:tab/>
              <w:t>4</w:t>
            </w:r>
          </w:hyperlink>
        </w:p>
        <w:p>
          <w:pPr>
            <w:pStyle w:val="TOC1"/>
            <w:tabs>
              <w:tab w:val="clear" w:pos="284"/>
              <w:tab w:val="clear" w:pos="9911"/>
              <w:tab w:val="right" w:pos="9921" w:leader="dot"/>
            </w:tabs>
            <w:rPr/>
          </w:pPr>
          <w:hyperlink w:anchor="__RefHeading___Toc5444_315841478">
            <w:r>
              <w:rPr>
                <w:rStyle w:val="Style16"/>
                <w:sz w:val="24"/>
                <w:szCs w:val="24"/>
              </w:rPr>
              <w:t>Таблица 3. Требования к срокам оказания услуг</w:t>
              <w:tab/>
              <w:t>4</w:t>
            </w:r>
          </w:hyperlink>
        </w:p>
        <w:p>
          <w:pPr>
            <w:pStyle w:val="TOC4"/>
            <w:tabs>
              <w:tab w:val="clear" w:pos="1120"/>
              <w:tab w:val="clear" w:pos="9911"/>
              <w:tab w:val="right" w:pos="9921" w:leader="dot"/>
            </w:tabs>
            <w:rPr/>
          </w:pPr>
          <w:r>
            <w:rPr>
              <w:sz w:val="24"/>
              <w:szCs w:val="24"/>
            </w:rPr>
            <w:t>2</w:t>
          </w:r>
          <w:hyperlink w:anchor="__RefHeading___Toc5446_315841478">
            <w:r>
              <w:rPr>
                <w:rStyle w:val="Style16"/>
                <w:sz w:val="24"/>
                <w:szCs w:val="24"/>
              </w:rPr>
              <w:t>.2. Требования к качеству услуг</w:t>
              <w:tab/>
              <w:t>5</w:t>
            </w:r>
          </w:hyperlink>
        </w:p>
        <w:p>
          <w:pPr>
            <w:pStyle w:val="TOC1"/>
            <w:tabs>
              <w:tab w:val="clear" w:pos="284"/>
              <w:tab w:val="clear" w:pos="9911"/>
              <w:tab w:val="right" w:pos="9921" w:leader="dot"/>
            </w:tabs>
            <w:rPr/>
          </w:pPr>
          <w:hyperlink w:anchor="__RefHeading___Toc5448_315841478">
            <w:r>
              <w:rPr>
                <w:rStyle w:val="Style16"/>
                <w:sz w:val="24"/>
                <w:szCs w:val="24"/>
              </w:rPr>
              <w:t>Таблица 4. Требования к качеству услуг.</w:t>
            </w:r>
          </w:hyperlink>
          <w:r>
            <w:rPr>
              <w:sz w:val="24"/>
              <w:szCs w:val="24"/>
            </w:rPr>
            <w:t xml:space="preserve"> </w:t>
          </w:r>
          <w:hyperlink w:anchor="__RefHeading___Toc1062_2924392234">
            <w:r>
              <w:rPr>
                <w:rStyle w:val="Style16"/>
                <w:b w:val="false"/>
                <w:bCs w:val="false"/>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hyperlink>
          <w:hyperlink w:anchor="__RefHeading___Toc1062_2924392234">
            <w:r>
              <w:rPr>
                <w:rStyle w:val="Style16"/>
                <w:sz w:val="24"/>
                <w:szCs w:val="24"/>
              </w:rPr>
              <w:tab/>
              <w:t>5</w:t>
            </w:r>
          </w:hyperlink>
        </w:p>
        <w:p>
          <w:pPr>
            <w:pStyle w:val="TOC1"/>
            <w:tabs>
              <w:tab w:val="clear" w:pos="284"/>
              <w:tab w:val="clear" w:pos="9911"/>
              <w:tab w:val="right" w:pos="9921" w:leader="dot"/>
            </w:tabs>
            <w:rPr/>
          </w:pPr>
          <w:r>
            <w:rPr>
              <w:sz w:val="24"/>
              <w:szCs w:val="24"/>
            </w:rPr>
            <w:t>3</w:t>
          </w:r>
          <w:hyperlink w:anchor="__RefHeading___Toc5450_315841478">
            <w:r>
              <w:rPr>
                <w:rStyle w:val="Style16"/>
                <w:sz w:val="24"/>
                <w:szCs w:val="24"/>
              </w:rPr>
              <w:t>. Требования к документации по ценообразованию на этапе закупки</w:t>
              <w:tab/>
              <w:t>11</w:t>
            </w:r>
          </w:hyperlink>
          <w:r>
            <w:rPr>
              <w:rStyle w:val="Style16"/>
              <w:sz w:val="24"/>
              <w:szCs w:val="24"/>
            </w:rPr>
            <w:fldChar w:fldCharType="end"/>
          </w:r>
        </w:p>
      </w:sdtContent>
    </w:sdt>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54643694"/>
      <w:bookmarkStart w:id="17" w:name="_Toc135150390"/>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135150391"/>
      <w:bookmarkStart w:id="20" w:name="_Toc54643696"/>
      <w:bookmarkStart w:id="21" w:name="_Toc46743506"/>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29097754"/>
      <w:bookmarkStart w:id="28" w:name="_Toc54643699"/>
      <w:bookmarkStart w:id="29" w:name="_Toc135150395"/>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 xml:space="preserve">Проведение осмотров осуществляется в </w:t>
            </w:r>
            <w:r>
              <w:rPr>
                <w:iCs/>
              </w:rPr>
              <w:t xml:space="preserve"> </w:t>
            </w:r>
            <w:r>
              <w:rPr>
                <w:iCs/>
                <w:lang w:val="ru-RU"/>
              </w:rPr>
              <w:t xml:space="preserve">г. </w:t>
            </w:r>
            <w:r>
              <w:rPr>
                <w:iCs/>
                <w:lang w:val="ru-RU"/>
              </w:rPr>
              <w:t>Благовещенск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1339693"/>
      <w:bookmarkStart w:id="32" w:name="_Toc135150396"/>
      <w:bookmarkStart w:id="33" w:name="_Toc54643702"/>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135150397"/>
      <w:bookmarkStart w:id="36" w:name="_Toc54643703"/>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54643704"/>
      <w:bookmarkStart w:id="38" w:name="_Toc135150398"/>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54643705"/>
      <w:bookmarkStart w:id="40" w:name="_Toc135150399"/>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58</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54643706"/>
      <w:bookmarkStart w:id="44" w:name="_Toc135150400"/>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135150401"/>
      <w:bookmarkStart w:id="48" w:name="_Toc54643707"/>
      <w:bookmarkStart w:id="49" w:name="_Toc51339697"/>
      <w:bookmarkStart w:id="50" w:name="_Toc5012512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31.12.2026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135150402"/>
      <w:bookmarkStart w:id="56" w:name="_Toc54643708"/>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rPr>
          <w:i/>
          <w:i/>
          <w:iCs/>
          <w:shd w:fill="FFFF99" w:val="clear"/>
        </w:rPr>
      </w:pPr>
      <w:r>
        <w:rPr>
          <w:i/>
          <w:iCs/>
          <w:shd w:fill="FFFF99" w:val="clear"/>
        </w:rPr>
      </w:r>
    </w:p>
    <w:tbl>
      <w:tblPr>
        <w:tblW w:w="152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0"/>
        <w:gridCol w:w="5779"/>
        <w:gridCol w:w="3247"/>
        <w:gridCol w:w="2868"/>
        <w:gridCol w:w="2546"/>
      </w:tblGrid>
      <w:tr>
        <w:trPr>
          <w:trHeight w:val="276" w:hRule="atLeast"/>
        </w:trPr>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 xml:space="preserve">№ </w:t>
            </w:r>
            <w:r>
              <w:rPr>
                <w:b/>
                <w:bCs/>
              </w:rPr>
              <w:t>п/п</w:t>
            </w:r>
          </w:p>
        </w:tc>
        <w:tc>
          <w:tcPr>
            <w:tcW w:w="57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Наименование параметра</w:t>
            </w:r>
          </w:p>
        </w:tc>
        <w:tc>
          <w:tcPr>
            <w:tcW w:w="32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Требование заказчика</w:t>
            </w:r>
          </w:p>
        </w:tc>
        <w:tc>
          <w:tcPr>
            <w:tcW w:w="54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Способ подтверждения участником соответствия требованиям</w:t>
            </w:r>
          </w:p>
        </w:tc>
      </w:tr>
      <w:tr>
        <w:trPr>
          <w:trHeight w:val="276" w:hRule="atLeast"/>
        </w:trPr>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57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324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Согласие с требованием/ указание характеристик</w:t>
            </w:r>
          </w:p>
        </w:tc>
        <w:tc>
          <w:tcPr>
            <w:tcW w:w="25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Предоставление подтверждающего документа или иной способ подтверждения</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60" w:name="_Toc53499667"/>
            <w:r>
              <w:rPr>
                <w:b/>
                <w:bCs/>
              </w:rPr>
              <w:t>1</w:t>
            </w:r>
            <w:bookmarkEnd w:id="60"/>
          </w:p>
        </w:tc>
        <w:tc>
          <w:tcPr>
            <w:tcW w:w="5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2</w:t>
            </w:r>
          </w:p>
        </w:tc>
        <w:tc>
          <w:tcPr>
            <w:tcW w:w="3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3</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оказанию услуг</w:t>
            </w:r>
          </w:p>
        </w:tc>
        <w:tc>
          <w:tcPr>
            <w:tcW w:w="2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260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b/>
                <w:bCs/>
              </w:rPr>
            </w:pPr>
            <w:r>
              <w:rPr>
                <w:rFonts w:eastAsia="Calibri"/>
                <w:b/>
                <w:bCs/>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b/>
              </w:rPr>
              <w:t>Общие требования к оказанию услуг</w:t>
            </w:r>
          </w:p>
          <w:p>
            <w:pPr>
              <w:pStyle w:val="Normal"/>
              <w:widowControl w:val="false"/>
              <w:jc w:val="both"/>
              <w:rPr/>
            </w:pPr>
            <w:r>
              <w:rPr>
                <w:lang w:val="ru-RU"/>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Участник должен предоставить в заявке согласие оказать услуги, полностью соответствующие настоящим техническим требованиям</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p>
            <w:pPr>
              <w:pStyle w:val="Normal"/>
              <w:widowControl w:val="false"/>
              <w:rPr>
                <w:b/>
              </w:rPr>
            </w:pPr>
            <w:r>
              <w:rPr>
                <w:b/>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pPr>
            <w:r>
              <w:rPr>
                <w:b/>
              </w:rPr>
              <w:t>Требования к способам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периодического медицинского осмотра осуществляется на территории медицинского учреждения в </w:t>
            </w:r>
            <w:r>
              <w:rPr>
                <w:iCs/>
                <w:lang w:val="ru-RU"/>
              </w:rPr>
              <w:t>г. Владивосток</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процедурам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 проведении периодического осмотра 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1.3.3.</w:t>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eastAsia="ar-SA"/>
              </w:rPr>
              <w:t>Проведение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применяемым при оказании услуг оборудованию и материалам</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применяемое для проведения медицинского осмотра должно</w:t>
            </w:r>
            <w:r>
              <w:rPr>
                <w:color w:val="333333"/>
                <w:lang w:val="ru-RU"/>
              </w:rPr>
              <w:t xml:space="preserve"> соответствовать нормам безопасности и технико-эксплуатационной надёжности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должно иметь обязательную соответствующую сертификацию</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rHeight w:val="337"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rPr>
              <w:t>Требования к персоналу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123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 xml:space="preserve">Медицинские работники, осуществляющие проведение медицинского осмотра </w:t>
            </w:r>
            <w:r>
              <w:rPr>
                <w:bCs/>
                <w:color w:val="202124"/>
                <w:shd w:fill="FFFFFF" w:val="clear"/>
                <w:lang w:val="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color w:val="333333"/>
                <w:lang w:val="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iCs/>
              </w:rPr>
              <w:t>Медицинские осмотры должны проводиться медицинскими организациями любой формы собственности, имеющих лицензию на осуществление медицинской деятельности.</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Требования к результатам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Общие требования к результатам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200" w:after="0"/>
              <w:ind w:left="25" w:hanging="0"/>
              <w:rPr>
                <w:rFonts w:ascii="Times New Roman" w:hAnsi="Times New Roman"/>
                <w:b w:val="false"/>
                <w:bCs w:val="false"/>
              </w:rPr>
            </w:pPr>
            <w:bookmarkStart w:id="61" w:name="__RefHeading___Toc1062_2924392234"/>
            <w:bookmarkStart w:id="62" w:name="_Toc125983874"/>
            <w:bookmarkEnd w:id="61"/>
            <w:r>
              <w:rPr>
                <w:rFonts w:eastAsia="Calibri" w:ascii="Times New Roman" w:hAnsi="Times New Roman"/>
                <w:b w:val="false"/>
                <w:bCs w:val="false"/>
                <w:color w:val="auto"/>
              </w:rPr>
              <w:t>По окончании прохождения работником периодического медицинского осмотра медицинской организацией оформляется заключение по его результатам (далее - Заключение).</w:t>
            </w:r>
            <w:bookmarkEnd w:id="62"/>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bCs/>
              </w:rPr>
              <w:t>Требования к приемке результата оказания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pPr>
            <w:r>
              <w:rPr/>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pPr>
            <w:r>
              <w:rPr/>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pPr>
            <w:r>
              <w:rPr>
                <w:b/>
              </w:rPr>
              <w:t>Требования к безопасности использования результата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pPr>
            <w:r>
              <w:rPr>
                <w:color w:val="000000"/>
                <w:lang w:val="ru-RU"/>
              </w:rPr>
              <w:t>Исполнитель обязуются сохранять конфиденциальность информации, полученной в ходе исполнения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lang w:val="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rPr>
              <w:t>за исключением случаев, предусмотренных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документации, описывающей результат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Заключении указываются:</w:t>
            </w:r>
          </w:p>
          <w:p>
            <w:pPr>
              <w:pStyle w:val="Normal"/>
              <w:widowControl w:val="false"/>
              <w:jc w:val="both"/>
              <w:rPr/>
            </w:pPr>
            <w:r>
              <w:rPr>
                <w:lang w:val="ru-RU"/>
              </w:rPr>
              <w:t>-дата выдачи Заключения;</w:t>
            </w:r>
          </w:p>
          <w:p>
            <w:pPr>
              <w:pStyle w:val="Normal"/>
              <w:widowControl w:val="false"/>
              <w:jc w:val="both"/>
              <w:rPr/>
            </w:pPr>
            <w:r>
              <w:rPr>
                <w:lang w:val="ru-RU"/>
              </w:rPr>
              <w:t>-фамилия, имя, отчество (при наличии), дата рождения, пол лица, поступающего на работу;</w:t>
            </w:r>
          </w:p>
          <w:p>
            <w:pPr>
              <w:pStyle w:val="Normal"/>
              <w:widowControl w:val="false"/>
              <w:jc w:val="both"/>
              <w:rPr/>
            </w:pPr>
            <w:r>
              <w:rPr>
                <w:lang w:val="ru-RU"/>
              </w:rPr>
              <w:t>-наименование работодателя;</w:t>
            </w:r>
          </w:p>
          <w:p>
            <w:pPr>
              <w:pStyle w:val="Normal"/>
              <w:widowControl w:val="false"/>
              <w:jc w:val="both"/>
              <w:rPr/>
            </w:pPr>
            <w:r>
              <w:rPr>
                <w:lang w:val="ru-RU"/>
              </w:rPr>
              <w:t>-наименование структурного подразделения работодателя (при наличии), должности (профессии) или вида работы;</w:t>
            </w:r>
          </w:p>
          <w:p>
            <w:pPr>
              <w:pStyle w:val="Normal"/>
              <w:widowControl w:val="false"/>
              <w:jc w:val="both"/>
              <w:rPr/>
            </w:pPr>
            <w:r>
              <w:rPr>
                <w:lang w:val="ru-RU"/>
              </w:rPr>
              <w:t>-наименование вредных и (или) опасных производственных факторов, видов работ;</w:t>
            </w:r>
          </w:p>
          <w:p>
            <w:pPr>
              <w:pStyle w:val="Normal"/>
              <w:widowControl w:val="false"/>
              <w:jc w:val="both"/>
              <w:rPr/>
            </w:pPr>
            <w:r>
              <w:rPr>
                <w:lang w:val="ru-RU"/>
              </w:rP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заключительном акте указывается:</w:t>
            </w:r>
          </w:p>
          <w:p>
            <w:pPr>
              <w:pStyle w:val="Normal"/>
              <w:widowControl w:val="false"/>
              <w:jc w:val="both"/>
              <w:rPr/>
            </w:pPr>
            <w:r>
              <w:rPr>
                <w:lang w:val="ru-RU"/>
              </w:rPr>
              <w:t>-наименование медицинской организации, проводившей периодический осмотр, адрес ее местонахождения и код по ОГРН;</w:t>
            </w:r>
          </w:p>
          <w:p>
            <w:pPr>
              <w:pStyle w:val="Normal"/>
              <w:widowControl w:val="false"/>
              <w:jc w:val="both"/>
              <w:rPr/>
            </w:pPr>
            <w:r>
              <w:rPr>
                <w:lang w:val="ru-RU"/>
              </w:rPr>
              <w:t>-дата составления акта;</w:t>
            </w:r>
          </w:p>
          <w:p>
            <w:pPr>
              <w:pStyle w:val="Normal"/>
              <w:widowControl w:val="false"/>
              <w:jc w:val="both"/>
              <w:rPr/>
            </w:pPr>
            <w:r>
              <w:rPr>
                <w:lang w:val="ru-RU"/>
              </w:rPr>
              <w:t>-наименование работодателя;</w:t>
            </w:r>
          </w:p>
          <w:p>
            <w:pPr>
              <w:pStyle w:val="Normal"/>
              <w:widowControl w:val="false"/>
              <w:jc w:val="both"/>
              <w:rPr/>
            </w:pPr>
            <w:r>
              <w:rPr>
                <w:lang w:val="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занятых на работах с вредными и (или) опасными условиями труда;</w:t>
            </w:r>
          </w:p>
          <w:p>
            <w:pPr>
              <w:pStyle w:val="Normal"/>
              <w:widowControl w:val="false"/>
              <w:jc w:val="both"/>
              <w:rPr/>
            </w:pPr>
            <w:r>
              <w:rPr>
                <w:lang w:val="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-процент охвата работников периодическим медицинским осмотром;</w:t>
            </w:r>
          </w:p>
          <w:p>
            <w:pPr>
              <w:pStyle w:val="Normal"/>
              <w:widowControl w:val="false"/>
              <w:jc w:val="both"/>
              <w:rPr/>
            </w:pPr>
            <w:r>
              <w:rPr>
                <w:lang w:val="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pPr>
              <w:pStyle w:val="Normal"/>
              <w:widowControl w:val="false"/>
              <w:jc w:val="both"/>
              <w:rPr/>
            </w:pPr>
            <w:r>
              <w:rPr>
                <w:lang w:val="ru-RU"/>
              </w:rPr>
              <w:t>-численность работников, не завершивших периодический медицинский осмотр, в том числе женщин;</w:t>
            </w:r>
          </w:p>
          <w:p>
            <w:pPr>
              <w:pStyle w:val="Normal"/>
              <w:widowControl w:val="false"/>
              <w:jc w:val="both"/>
              <w:rPr/>
            </w:pPr>
            <w:r>
              <w:rPr>
                <w:lang w:val="ru-RU"/>
              </w:rPr>
              <w:t>-список работников, не завершивших периодический медицинский осмотр;</w:t>
            </w:r>
          </w:p>
          <w:p>
            <w:pPr>
              <w:pStyle w:val="Normal"/>
              <w:widowControl w:val="false"/>
              <w:jc w:val="both"/>
              <w:rPr/>
            </w:pPr>
            <w:r>
              <w:rPr>
                <w:lang w:val="ru-RU"/>
              </w:rPr>
              <w:t>-численность работников, не прошедших периодический медицинский осмотр, в том числе женщин;</w:t>
            </w:r>
          </w:p>
          <w:p>
            <w:pPr>
              <w:pStyle w:val="Normal"/>
              <w:widowControl w:val="false"/>
              <w:jc w:val="both"/>
              <w:rPr/>
            </w:pPr>
            <w:r>
              <w:rPr>
                <w:lang w:val="ru-RU"/>
              </w:rPr>
              <w:t>-список работников, не прошедших периодический медицинский осмотр;</w:t>
            </w:r>
          </w:p>
          <w:p>
            <w:pPr>
              <w:pStyle w:val="Normal"/>
              <w:widowControl w:val="false"/>
              <w:jc w:val="both"/>
              <w:rPr/>
            </w:pPr>
            <w:r>
              <w:rPr>
                <w:lang w:val="ru-RU"/>
              </w:rPr>
              <w:t>-численность работников, не имеющих медицинские противопоказания к работе;</w:t>
            </w:r>
          </w:p>
          <w:p>
            <w:pPr>
              <w:pStyle w:val="Normal"/>
              <w:widowControl w:val="false"/>
              <w:jc w:val="both"/>
              <w:rPr/>
            </w:pPr>
            <w:r>
              <w:rPr>
                <w:lang w:val="ru-RU"/>
              </w:rPr>
              <w:t>-численность работников, имеющих медицинские противопоказания к работе;</w:t>
            </w:r>
          </w:p>
          <w:p>
            <w:pPr>
              <w:pStyle w:val="Normal"/>
              <w:widowControl w:val="false"/>
              <w:jc w:val="both"/>
              <w:rPr/>
            </w:pPr>
            <w:r>
              <w:rPr>
                <w:lang w:val="ru-RU"/>
              </w:rPr>
              <w:t>-численность работников, нуждающихся в проведении дополнительного обследования;</w:t>
            </w:r>
          </w:p>
          <w:p>
            <w:pPr>
              <w:pStyle w:val="Normal"/>
              <w:widowControl w:val="false"/>
              <w:jc w:val="both"/>
              <w:rPr/>
            </w:pPr>
            <w:r>
              <w:rPr>
                <w:lang w:val="ru-RU"/>
              </w:rPr>
              <w:t>-численность работников, нуждающихся в обследовании в центре профпатологии;</w:t>
            </w:r>
          </w:p>
          <w:p>
            <w:pPr>
              <w:pStyle w:val="Normal"/>
              <w:widowControl w:val="false"/>
              <w:jc w:val="both"/>
              <w:rPr/>
            </w:pPr>
            <w:r>
              <w:rPr>
                <w:lang w:val="ru-RU"/>
              </w:rPr>
              <w:t>-численность работников, нуждающихся в амбулаторном обследовании и лечении;</w:t>
            </w:r>
          </w:p>
          <w:p>
            <w:pPr>
              <w:pStyle w:val="Normal"/>
              <w:widowControl w:val="false"/>
              <w:jc w:val="both"/>
              <w:rPr/>
            </w:pPr>
            <w:r>
              <w:rPr>
                <w:lang w:val="ru-RU"/>
              </w:rPr>
              <w:t>-численность работников, нуждающихся в стационарном обследовании и лечении;</w:t>
            </w:r>
          </w:p>
          <w:p>
            <w:pPr>
              <w:pStyle w:val="Normal"/>
              <w:widowControl w:val="false"/>
              <w:jc w:val="both"/>
              <w:rPr/>
            </w:pPr>
            <w:r>
              <w:rPr>
                <w:lang w:val="ru-RU"/>
              </w:rPr>
              <w:t>-численность работников, нуждающихся в санаторно-курортном лечении;</w:t>
            </w:r>
          </w:p>
          <w:p>
            <w:pPr>
              <w:pStyle w:val="Normal"/>
              <w:widowControl w:val="false"/>
              <w:jc w:val="both"/>
              <w:rPr/>
            </w:pPr>
            <w:r>
              <w:rPr>
                <w:lang w:val="ru-RU"/>
              </w:rPr>
              <w:t>-численность работников, нуждающихся в диспансерном наблюдении;</w:t>
            </w:r>
          </w:p>
          <w:p>
            <w:pPr>
              <w:pStyle w:val="Normal"/>
              <w:widowControl w:val="false"/>
              <w:jc w:val="both"/>
              <w:rPr/>
            </w:pPr>
            <w:r>
              <w:rPr>
                <w:lang w:val="ru-RU"/>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pPr>
              <w:pStyle w:val="Normal"/>
              <w:widowControl w:val="false"/>
              <w:jc w:val="both"/>
              <w:rPr/>
            </w:pPr>
            <w:r>
              <w:rPr>
                <w:lang w:val="ru-RU"/>
              </w:rPr>
              <w:t xml:space="preserve">-перечень впервые установленных хронических соматических заболеваний с указанием класса заболеваний по действующей Международной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классификации</w:t>
            </w:r>
            <w:r>
              <w:rPr>
                <w:u w:val="single"/>
                <w:lang w:val="ru-RU"/>
              </w:rPr>
              <w:fldChar w:fldCharType="end"/>
            </w:r>
            <w:r>
              <w:rPr>
                <w:lang w:val="ru-RU"/>
              </w:rPr>
              <w:t xml:space="preserve"> болезней и проблем, связанных со здоровьем (далее - МКБ);</w:t>
            </w:r>
          </w:p>
          <w:p>
            <w:pPr>
              <w:pStyle w:val="Normal"/>
              <w:widowControl w:val="false"/>
              <w:jc w:val="both"/>
              <w:rPr/>
            </w:pPr>
            <w:r>
              <w:rPr>
                <w:lang w:val="ru-RU"/>
              </w:rPr>
              <w:t xml:space="preserve">-перечень впервые установленных профессиональных заболеваний с указанием класса заболеваний по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МКБ</w:t>
            </w:r>
            <w:r>
              <w:rPr>
                <w:u w:val="single"/>
                <w:lang w:val="ru-RU"/>
              </w:rPr>
              <w:fldChar w:fldCharType="end"/>
            </w:r>
            <w:r>
              <w:rPr>
                <w:lang w:val="ru-RU"/>
              </w:rPr>
              <w:t>;</w:t>
            </w:r>
          </w:p>
          <w:p>
            <w:pPr>
              <w:pStyle w:val="Normal"/>
              <w:widowControl w:val="false"/>
              <w:jc w:val="both"/>
              <w:rPr/>
            </w:pPr>
            <w:r>
              <w:rPr>
                <w:lang w:val="ru-RU"/>
              </w:rPr>
              <w:t>-перечень впервые установленных инфекционных заболеваний (отравлений), связанных с условиями труда;</w:t>
            </w:r>
          </w:p>
          <w:p>
            <w:pPr>
              <w:pStyle w:val="Normal"/>
              <w:widowControl w:val="false"/>
              <w:jc w:val="both"/>
              <w:rPr/>
            </w:pPr>
            <w:r>
              <w:rPr>
                <w:lang w:val="ru-RU"/>
              </w:rPr>
              <w:t>-результаты выполнения рекомендаций предыдущего заключительного акта;</w:t>
            </w:r>
          </w:p>
          <w:p>
            <w:pPr>
              <w:pStyle w:val="Normal"/>
              <w:widowControl w:val="false"/>
              <w:jc w:val="both"/>
              <w:rPr/>
            </w:pPr>
            <w:r>
              <w:rPr>
                <w:lang w:val="ru-RU"/>
              </w:rPr>
              <w:t>-рекомендации работодателю по реализации комплекса оздоровительных мероприятий, включая профилактические и другие мероприятия.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ind w:left="25" w:hanging="0"/>
              <w:contextualSpacing/>
              <w:rPr/>
            </w:pPr>
            <w:r>
              <w:rPr>
                <w:rFonts w:eastAsia="Calibri"/>
              </w:rPr>
              <w:t>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lang w:val="ru-RU"/>
              </w:rPr>
              <w:t>Требования к ответственности и гарантиям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lang w:val="ru-RU"/>
              </w:rPr>
            </w:pPr>
            <w:r>
              <w:rPr>
                <w:b/>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t>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rPr>
              <w:t>Требования к исполнителю (и соисполнителям) и его обязательствам, влияющим на исполнение договора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bl>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Pr>
      <w:r>
        <w:br w:type="page"/>
      </w:r>
    </w:p>
    <w:p>
      <w:pPr>
        <w:pStyle w:val="Heading1"/>
        <w:keepLines w:val="false"/>
        <w:numPr>
          <w:ilvl w:val="0"/>
          <w:numId w:val="15"/>
        </w:numPr>
        <w:spacing w:before="120" w:after="60"/>
        <w:ind w:left="426" w:hanging="426"/>
        <w:rPr>
          <w:rFonts w:ascii="Times New Roman" w:hAnsi="Times New Roman"/>
          <w:b w:val="false"/>
          <w:bCs w:val="false"/>
        </w:rPr>
      </w:pPr>
      <w:bookmarkStart w:id="63" w:name="__RefHeading___Toc5450_315841478"/>
      <w:bookmarkStart w:id="64" w:name="_Toc53393312"/>
      <w:bookmarkStart w:id="65" w:name="_Toc53395937"/>
      <w:bookmarkEnd w:id="63"/>
      <w:r>
        <w:rPr>
          <w:rFonts w:ascii="Times New Roman" w:hAnsi="Times New Roman"/>
          <w:b w:val="false"/>
          <w:bCs w:val="false"/>
          <w:sz w:val="28"/>
          <w:szCs w:val="28"/>
        </w:rPr>
        <w:t>Требования к документации по ценообразованию</w:t>
      </w:r>
      <w:bookmarkEnd w:id="64"/>
      <w:bookmarkEnd w:id="65"/>
      <w:r>
        <w:rPr>
          <w:rFonts w:ascii="Times New Roman" w:hAnsi="Times New Roman"/>
          <w:b w:val="false"/>
          <w:bCs w:val="false"/>
          <w:sz w:val="28"/>
          <w:szCs w:val="28"/>
        </w:rPr>
        <w:t xml:space="preserve"> на этапе закупки</w:t>
      </w:r>
    </w:p>
    <w:p>
      <w:pPr>
        <w:pStyle w:val="ListParagraph"/>
        <w:ind w:left="0" w:hanging="0"/>
        <w:jc w:val="both"/>
        <w:rPr/>
      </w:pPr>
      <w:r>
        <w:rPr>
          <w:iCs/>
          <w:color w:val="000000" w:themeColor="text1"/>
          <w:sz w:val="28"/>
          <w:szCs w:val="28"/>
        </w:rPr>
        <w:t>3.1 В обоснование стоимости своей заявки Участник предоставляет Коммерческое предложение.</w:t>
      </w:r>
    </w:p>
    <w:p>
      <w:pPr>
        <w:pStyle w:val="ListParagraph"/>
        <w:ind w:left="0" w:hanging="0"/>
        <w:jc w:val="both"/>
        <w:rPr/>
      </w:pPr>
      <w:r>
        <w:rPr>
          <w:iCs/>
          <w:color w:val="000000" w:themeColor="text1"/>
          <w:sz w:val="28"/>
          <w:szCs w:val="28"/>
        </w:rPr>
        <w:t>3.2. Дополнительные документы по ценообразованию в состав заявки не включаются.</w:t>
      </w:r>
    </w:p>
    <w:p>
      <w:pPr>
        <w:pStyle w:val="Normal"/>
        <w:rPr>
          <w:lang w:val="ru-RU"/>
        </w:rPr>
      </w:pPr>
      <w:r>
        <w:rPr>
          <w:lang w:val="ru-RU"/>
        </w:rPr>
      </w:r>
      <w:bookmarkStart w:id="66" w:name="_GoBack"/>
      <w:bookmarkStart w:id="67" w:name="_GoBack"/>
      <w:bookmarkEnd w:id="67"/>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58</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9"/>
      <w:headerReference w:type="first" r:id="rId10"/>
      <w:footerReference w:type="default" r:id="rId11"/>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Application>AlterOffice/3.4.0.9$Linux_X86_64 LibreOffice_project/b8daf9e823b1a5463a2f48435ddc2e8696e7d4fc</Application>
  <AppVersion>15.0000</AppVersion>
  <Pages>27</Pages>
  <Words>7770</Words>
  <Characters>55778</Characters>
  <CharactersWithSpaces>63352</CharactersWithSpaces>
  <Paragraphs>488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2026-04-24T15:34:43Z</dcterms:modified>
  <cp:revision>167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