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ОКПД2 19.20.29.190 Поставка масел, смазок для нужд филиала ПАО 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Поставка масел, смазок для нужд филиала ПАО "РусГидро" - "Зейская ГЭС"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4"/>
        <w:gridCol w:w="3547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1 партии: с даты заключения договора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Окончание срока поставки 1 партии: 20.06.202</w:t>
      </w:r>
      <w:r>
        <w:rPr>
          <w:sz w:val="24"/>
          <w:szCs w:val="24"/>
        </w:rPr>
        <w:t>7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2 партии: 01.09.202</w:t>
      </w:r>
      <w:r>
        <w:rPr>
          <w:sz w:val="24"/>
          <w:szCs w:val="24"/>
        </w:rPr>
        <w:t>7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Окончание срока поставки 2 партии: 01.11.202</w:t>
      </w:r>
      <w:r>
        <w:rPr>
          <w:sz w:val="24"/>
          <w:szCs w:val="24"/>
        </w:rPr>
        <w:t>7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6"/>
        <w:gridCol w:w="1020"/>
        <w:gridCol w:w="1418"/>
        <w:gridCol w:w="1250"/>
        <w:gridCol w:w="25"/>
        <w:gridCol w:w="2242"/>
        <w:gridCol w:w="29"/>
        <w:gridCol w:w="1671"/>
        <w:gridCol w:w="29"/>
        <w:gridCol w:w="6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Предложение участника по характеристикам и параметрам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Наименования параметра, тип, марка в соответствии с Приложением №1 к настоящим техническим требованиям 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88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 xml:space="preserve">Требования к комплектации и документам, поставляемым вместе с продукцией </w:t>
            </w:r>
            <w:r>
              <w:rPr>
                <w:kern w:val="0"/>
                <w:sz w:val="22"/>
                <w:szCs w:val="22"/>
                <w:lang w:val="ru-RU" w:bidi="ar-SA"/>
              </w:rPr>
              <w:t>в соответствии с Приложением №1 к настоящим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Cs/>
                <w:kern w:val="0"/>
                <w:sz w:val="22"/>
                <w:szCs w:val="22"/>
                <w:lang w:val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28305831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A8A5-0990-4CC5-9F79-F7472F92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AlterOffice/3.4.0.9$Linux_X86_64 LibreOffice_project/b8daf9e823b1a5463a2f48435ddc2e8696e7d4fc</Application>
  <AppVersion>15.0000</AppVersion>
  <Pages>6</Pages>
  <Words>539</Words>
  <Characters>3561</Characters>
  <CharactersWithSpaces>4011</CharactersWithSpaces>
  <Paragraphs>104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2024-12-05T02:48:00Z</dcterms:created>
  <dc:creator>Смирнов Константин Русланович</dc:creator>
  <dc:description/>
  <dc:language>ru-RU</dc:language>
  <cp:lastModifiedBy>budnikovanv@corp.gidroogk.com</cp:lastModifiedBy>
  <cp:lastPrinted>2023-01-12T00:12:00Z</cp:lastPrinted>
  <dcterms:modified xsi:type="dcterms:W3CDTF">2026-05-05T10:58:36Z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