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rPr>
      </w:pPr>
      <w:r>
        <w:rPr/>
        <mc:AlternateContent>
          <mc:Choice Requires="wps">
            <w:drawing>
              <wp:anchor behindDoc="0" distT="0" distB="0" distL="0" distR="0" simplePos="0" locked="0" layoutInCell="0" allowOverlap="1" relativeHeight="4"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2.45pt;margin-top:197.2pt;width:62.95pt;height:10.45pt;mso-wrap-style:none;v-text-anchor:middle" wp14:anchorId="7774C7C5">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rFonts w:ascii="Times New Roman" w:hAnsi="Times New Roman"/>
                                <w:color w:val="000000"/>
                                <w:sz w:val="16"/>
                              </w:rPr>
                              <w:softHyphen/>
                              <w:softHyphen/>
                              <w:softHyphen/>
                              <w:softHyphen/>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4.1pt;margin-top:211.6pt;width:56.05pt;height:10.45pt;mso-wrap-style:square;v-text-anchor:top" wp14:anchorId="720EC4AF">
                <v:fill o:detectmouseclick="t" on="false"/>
                <v:stroke color="#3465a4" joinstyle="round" endcap="flat"/>
                <v:textbox>
                  <w:txbxContent>
                    <w:p>
                      <w:pPr>
                        <w:pStyle w:val="Style13"/>
                        <w:rPr>
                          <w:rFonts w:ascii="Times New Roman" w:hAnsi="Times New Roman"/>
                          <w:sz w:val="16"/>
                        </w:rPr>
                      </w:pPr>
                      <w:r>
                        <w:rPr>
                          <w:rFonts w:ascii="Times New Roman" w:hAnsi="Times New Roman"/>
                          <w:color w:val="000000"/>
                          <w:sz w:val="16"/>
                        </w:rPr>
                        <w:softHyphen/>
                        <w:softHyphen/>
                        <w:softHyphen/>
                        <w:softHyphen/>
                      </w:r>
                    </w:p>
                  </w:txbxContent>
                </v:textbox>
                <w10:wrap type="none"/>
              </v:rect>
            </w:pict>
          </mc:Fallback>
        </mc:AlternateContent>
        <mc:AlternateContent>
          <mc:Choice Requires="wps">
            <w:drawing>
              <wp:anchor behindDoc="0" distT="0" distB="0" distL="0" distR="0" simplePos="0" locked="0" layoutInCell="0" allowOverlap="1" relativeHeight="8"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4pt;margin-top:197.3pt;width:65.15pt;height:10.45pt;mso-wrap-style:none;v-text-anchor:middle" wp14:anchorId="767CEF16">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0"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Потенциальным поставщикам    продукции</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        </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Потенциальным поставщикам    продукции</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        </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2"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96.1pt;margin-top:210.7pt;width:65.15pt;height:10.45pt;mso-wrap-style:none;v-text-anchor:middle" wp14:anchorId="767CEF16">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w:drawing>
          <wp:inline distT="0" distB="0" distL="0" distR="0">
            <wp:extent cx="2514600" cy="2837180"/>
            <wp:effectExtent l="0" t="0" r="0" b="0"/>
            <wp:docPr id="1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descr=""/>
                    <pic:cNvPicPr>
                      <a:picLocks noChangeAspect="1" noChangeArrowheads="1"/>
                    </pic:cNvPicPr>
                  </pic:nvPicPr>
                  <pic:blipFill>
                    <a:blip r:embed="rId2"/>
                    <a:stretch>
                      <a:fillRect/>
                    </a:stretch>
                  </pic:blipFill>
                  <pic:spPr bwMode="auto">
                    <a:xfrm>
                      <a:off x="0" y="0"/>
                      <a:ext cx="2514600" cy="2837180"/>
                    </a:xfrm>
                    <a:prstGeom prst="rect">
                      <a:avLst/>
                    </a:prstGeom>
                  </pic:spPr>
                </pic:pic>
              </a:graphicData>
            </a:graphic>
          </wp:inline>
        </w:drawing>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Запрос заявок</w:t>
      </w:r>
    </w:p>
    <w:p>
      <w:pPr>
        <w:pStyle w:val="Normal"/>
        <w:ind w:right="-619" w:hanging="0"/>
        <w:rPr>
          <w:rFonts w:ascii="Times New Roman" w:hAnsi="Times New Roman"/>
          <w:szCs w:val="24"/>
        </w:rPr>
      </w:pPr>
      <w:r>
        <w:rPr>
          <w:rFonts w:ascii="Times New Roman" w:hAnsi="Times New Roman"/>
          <w:szCs w:val="24"/>
        </w:rPr>
      </w:r>
    </w:p>
    <w:p>
      <w:pPr>
        <w:pStyle w:val="Normal"/>
        <w:numPr>
          <w:ilvl w:val="0"/>
          <w:numId w:val="2"/>
        </w:numPr>
        <w:jc w:val="center"/>
        <w:outlineLvl w:val="0"/>
        <w:rPr>
          <w:rFonts w:ascii="Times New Roman" w:hAnsi="Times New Roman" w:eastAsia="Times New Roman"/>
          <w:b/>
          <w:bCs/>
          <w:iCs/>
          <w:sz w:val="24"/>
          <w:szCs w:val="24"/>
        </w:rPr>
      </w:pPr>
      <w:r>
        <w:rPr>
          <w:rFonts w:eastAsia="Times New Roman" w:ascii="Times New Roman" w:hAnsi="Times New Roman"/>
          <w:b/>
          <w:bCs/>
          <w:iCs/>
          <w:sz w:val="24"/>
          <w:szCs w:val="24"/>
        </w:rPr>
        <w:t>Уважаемые господа!</w:t>
      </w:r>
    </w:p>
    <w:p>
      <w:pPr>
        <w:pStyle w:val="Normal"/>
        <w:numPr>
          <w:ilvl w:val="0"/>
          <w:numId w:val="2"/>
        </w:numPr>
        <w:jc w:val="center"/>
        <w:outlineLvl w:val="0"/>
        <w:rPr>
          <w:rFonts w:ascii="Times New Roman" w:hAnsi="Times New Roman" w:eastAsia="Times New Roman"/>
          <w:b/>
          <w:bCs/>
          <w:iCs/>
          <w:sz w:val="24"/>
          <w:szCs w:val="24"/>
        </w:rPr>
      </w:pPr>
      <w:r>
        <w:rPr>
          <w:rFonts w:eastAsia="Times New Roman" w:ascii="Times New Roman" w:hAnsi="Times New Roman"/>
          <w:b/>
          <w:bCs/>
          <w:iCs/>
          <w:sz w:val="24"/>
          <w:szCs w:val="24"/>
        </w:rPr>
      </w:r>
    </w:p>
    <w:p>
      <w:pPr>
        <w:pStyle w:val="Normal"/>
        <w:ind w:firstLine="720"/>
        <w:jc w:val="both"/>
        <w:rPr>
          <w:rFonts w:ascii="Times New Roman" w:hAnsi="Times New Roman" w:eastAsia="Geneva"/>
          <w:sz w:val="24"/>
          <w:szCs w:val="24"/>
          <w:lang w:val="ru-RU" w:eastAsia="en-US"/>
        </w:rPr>
      </w:pPr>
      <w:r>
        <w:rPr>
          <w:rFonts w:eastAsia="Times New Roman" w:ascii="Times New Roman" w:hAnsi="Times New Roman"/>
          <w:color w:val="0000FF"/>
          <w:sz w:val="24"/>
          <w:szCs w:val="24"/>
          <w:lang w:val="ru-RU"/>
        </w:rPr>
        <w:t xml:space="preserve">        </w:t>
      </w:r>
      <w:r>
        <w:rPr>
          <w:rFonts w:eastAsia="Times New Roman" w:ascii="Times New Roman" w:hAnsi="Times New Roman"/>
          <w:color w:val="000000"/>
          <w:sz w:val="24"/>
          <w:szCs w:val="24"/>
          <w:lang w:val="ru-RU"/>
        </w:rPr>
        <w:t xml:space="preserve"> </w:t>
      </w:r>
      <w:r>
        <w:rPr>
          <w:rFonts w:eastAsia="Geneva" w:ascii="Times New Roman"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планирование закупок продукции на 2027 год с длительным сроком изготовления или  длительным сроком поставки (сложной логистики) и в этой связи приглашает юридических лиц (далее – Поставщики) подавать свои предложения  поставки</w:t>
      </w:r>
      <w:r>
        <w:rPr>
          <w:rFonts w:ascii="Times New Roman" w:hAnsi="Times New Roman"/>
          <w:sz w:val="24"/>
          <w:szCs w:val="24"/>
          <w:lang w:val="ru-RU"/>
        </w:rPr>
        <w:t xml:space="preserve"> по лоту «ОКПД2 27.20.21.000 Поставка аккумуляторов в рамках эксплуатационных расходов</w:t>
      </w:r>
      <w:r>
        <w:rPr>
          <w:rFonts w:eastAsia="Geneva" w:ascii="Times New Roman" w:hAnsi="Times New Roman"/>
          <w:sz w:val="24"/>
          <w:szCs w:val="24"/>
          <w:lang w:val="ru-RU" w:eastAsia="en-US"/>
        </w:rPr>
        <w:t>»:</w:t>
      </w:r>
    </w:p>
    <w:p>
      <w:pPr>
        <w:pStyle w:val="Normal"/>
        <w:ind w:firstLine="720"/>
        <w:jc w:val="both"/>
        <w:rPr>
          <w:rFonts w:ascii="Times New Roman" w:hAnsi="Times New Roman"/>
          <w:sz w:val="24"/>
          <w:szCs w:val="24"/>
          <w:lang w:val="ru-RU"/>
        </w:rPr>
      </w:pPr>
      <w:r>
        <w:rPr>
          <w:rFonts w:ascii="Times New Roman" w:hAnsi="Times New Roman"/>
          <w:sz w:val="24"/>
          <w:szCs w:val="24"/>
          <w:lang w:val="ru-RU"/>
        </w:rPr>
      </w:r>
    </w:p>
    <w:tbl>
      <w:tblPr>
        <w:tblW w:w="11046" w:type="dxa"/>
        <w:jc w:val="center"/>
        <w:tblInd w:w="0" w:type="dxa"/>
        <w:tblLayout w:type="fixed"/>
        <w:tblCellMar>
          <w:top w:w="55" w:type="dxa"/>
          <w:left w:w="55" w:type="dxa"/>
          <w:bottom w:w="55" w:type="dxa"/>
          <w:right w:w="55" w:type="dxa"/>
        </w:tblCellMar>
        <w:tblLook w:val="04a0" w:noHBand="0" w:noVBand="1" w:firstColumn="1" w:lastRow="0" w:lastColumn="0" w:firstRow="1"/>
      </w:tblPr>
      <w:tblGrid>
        <w:gridCol w:w="704"/>
        <w:gridCol w:w="1700"/>
        <w:gridCol w:w="3261"/>
        <w:gridCol w:w="1129"/>
        <w:gridCol w:w="992"/>
        <w:gridCol w:w="1418"/>
        <w:gridCol w:w="1841"/>
      </w:tblGrid>
      <w:tr>
        <w:trPr>
          <w:trHeight w:val="576"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40" w:after="40"/>
              <w:ind w:left="57" w:right="57" w:hanging="0"/>
              <w:jc w:val="center"/>
              <w:rPr>
                <w:rFonts w:ascii="Times New Roman" w:hAnsi="Times New Roman" w:eastAsia="Times New Roman"/>
                <w:b/>
                <w:sz w:val="22"/>
                <w:szCs w:val="22"/>
              </w:rPr>
            </w:pPr>
            <w:r>
              <w:rPr>
                <w:rFonts w:eastAsia="Times New Roman" w:ascii="Times New Roman" w:hAnsi="Times New Roman"/>
                <w:b/>
                <w:sz w:val="22"/>
                <w:szCs w:val="22"/>
              </w:rPr>
              <w:t xml:space="preserve">№ </w:t>
            </w:r>
            <w:r>
              <w:rPr>
                <w:rFonts w:eastAsia="Times New Roman" w:ascii="Times New Roman" w:hAnsi="Times New Roman"/>
                <w:b/>
                <w:sz w:val="22"/>
                <w:szCs w:val="22"/>
              </w:rPr>
              <w:t>п/п</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40" w:after="40"/>
              <w:ind w:left="360" w:right="57" w:hanging="0"/>
              <w:jc w:val="center"/>
              <w:rPr>
                <w:rFonts w:ascii="Times New Roman" w:hAnsi="Times New Roman" w:eastAsia="Times New Roman"/>
                <w:b/>
                <w:sz w:val="22"/>
                <w:szCs w:val="22"/>
              </w:rPr>
            </w:pPr>
            <w:r>
              <w:rPr>
                <w:rFonts w:eastAsia="Times New Roman" w:ascii="Times New Roman" w:hAnsi="Times New Roman"/>
                <w:b/>
                <w:sz w:val="22"/>
                <w:szCs w:val="22"/>
              </w:rPr>
              <w:t xml:space="preserve">Наименование </w:t>
            </w:r>
          </w:p>
          <w:p>
            <w:pPr>
              <w:pStyle w:val="Normal"/>
              <w:keepNext w:val="true"/>
              <w:widowControl w:val="false"/>
              <w:spacing w:before="40" w:after="40"/>
              <w:ind w:left="360" w:right="57" w:hanging="0"/>
              <w:jc w:val="center"/>
              <w:rPr>
                <w:rFonts w:ascii="Times New Roman" w:hAnsi="Times New Roman" w:eastAsia="Times New Roman"/>
                <w:b/>
                <w:sz w:val="22"/>
                <w:szCs w:val="22"/>
              </w:rPr>
            </w:pPr>
            <w:r>
              <w:rPr>
                <w:rFonts w:eastAsia="Times New Roman" w:ascii="Times New Roman" w:hAnsi="Times New Roman"/>
                <w:b/>
                <w:sz w:val="22"/>
                <w:szCs w:val="22"/>
              </w:rPr>
              <w:t>продукции</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40" w:after="40"/>
              <w:ind w:right="57" w:hanging="0"/>
              <w:jc w:val="center"/>
              <w:rPr>
                <w:rFonts w:ascii="Times New Roman" w:hAnsi="Times New Roman" w:eastAsia="Times New Roman"/>
                <w:b/>
                <w:sz w:val="22"/>
                <w:szCs w:val="22"/>
                <w:lang w:val="ru-RU"/>
              </w:rPr>
            </w:pPr>
            <w:r>
              <w:rPr>
                <w:rFonts w:eastAsia="Times New Roman" w:ascii="Times New Roman" w:hAnsi="Times New Roman"/>
                <w:b/>
                <w:sz w:val="22"/>
                <w:szCs w:val="22"/>
                <w:lang w:val="ru-RU"/>
              </w:rPr>
              <w:t>Тех.описание</w:t>
            </w:r>
          </w:p>
        </w:tc>
        <w:tc>
          <w:tcPr>
            <w:tcW w:w="1129"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left="360" w:right="57" w:hanging="0"/>
              <w:rPr>
                <w:rFonts w:ascii="Times New Roman" w:hAnsi="Times New Roman" w:eastAsia="Times New Roman"/>
                <w:b/>
                <w:sz w:val="22"/>
                <w:szCs w:val="22"/>
              </w:rPr>
            </w:pPr>
            <w:r>
              <w:rPr>
                <w:rFonts w:eastAsia="Times New Roman" w:ascii="Times New Roman" w:hAnsi="Times New Roman"/>
                <w:b/>
                <w:sz w:val="22"/>
                <w:szCs w:val="22"/>
              </w:rPr>
              <w:t>Кол-во</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40" w:after="40"/>
              <w:ind w:left="360" w:right="57" w:hanging="0"/>
              <w:jc w:val="center"/>
              <w:rPr>
                <w:rFonts w:ascii="Times New Roman" w:hAnsi="Times New Roman" w:eastAsia="Times New Roman"/>
                <w:b/>
                <w:sz w:val="22"/>
                <w:szCs w:val="22"/>
              </w:rPr>
            </w:pPr>
            <w:r>
              <w:rPr>
                <w:rFonts w:eastAsia="Times New Roman" w:ascii="Times New Roman" w:hAnsi="Times New Roman"/>
                <w:b/>
                <w:sz w:val="22"/>
                <w:szCs w:val="22"/>
              </w:rPr>
              <w:t>Ед. изм.</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left="360" w:right="57" w:hanging="0"/>
              <w:jc w:val="center"/>
              <w:rPr>
                <w:rFonts w:ascii="Times New Roman" w:hAnsi="Times New Roman" w:eastAsia="Times New Roman"/>
                <w:b/>
                <w:sz w:val="22"/>
                <w:szCs w:val="22"/>
              </w:rPr>
            </w:pPr>
            <w:r>
              <w:rPr>
                <w:rFonts w:eastAsia="Times New Roman" w:ascii="Times New Roman" w:hAnsi="Times New Roman"/>
                <w:b/>
                <w:sz w:val="22"/>
                <w:szCs w:val="22"/>
              </w:rPr>
              <w:t>Код по ОКПД2/ Расшифровка</w:t>
            </w:r>
          </w:p>
        </w:tc>
        <w:tc>
          <w:tcPr>
            <w:tcW w:w="184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40" w:after="40"/>
              <w:ind w:left="360" w:right="57" w:hanging="0"/>
              <w:jc w:val="center"/>
              <w:rPr>
                <w:rFonts w:ascii="Times New Roman" w:hAnsi="Times New Roman"/>
                <w:sz w:val="22"/>
                <w:szCs w:val="22"/>
                <w:lang w:val="ru-RU"/>
              </w:rPr>
            </w:pPr>
            <w:r>
              <w:rPr>
                <w:rFonts w:ascii="Times New Roman" w:hAnsi="Times New Roman"/>
                <w:b/>
                <w:sz w:val="22"/>
                <w:szCs w:val="22"/>
                <w:lang w:val="ru-RU"/>
              </w:rPr>
              <w:t>Применение законодательства о национальном режиме</w:t>
            </w:r>
          </w:p>
        </w:tc>
      </w:tr>
      <w:tr>
        <w:trPr>
          <w:trHeight w:val="2363"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1</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Батарея аккумуляторная 12В 132А.ч 6СТ-132</w:t>
            </w:r>
          </w:p>
        </w:tc>
        <w:tc>
          <w:tcPr>
            <w:tcW w:w="3261" w:type="dxa"/>
            <w:tcBorders>
              <w:top w:val="single" w:sz="4" w:space="0" w:color="000000"/>
              <w:left w:val="single" w:sz="4" w:space="0" w:color="000000"/>
              <w:bottom w:val="single" w:sz="4" w:space="0" w:color="000000"/>
              <w:right w:val="single" w:sz="4" w:space="0" w:color="000000"/>
            </w:tcBorders>
            <w:shd w:color="CCFFFF"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Номинальное напряжение: 12 В                                          Тип Залитая,</w:t>
            </w:r>
            <w:bookmarkStart w:id="0" w:name="_GoBack"/>
            <w:bookmarkEnd w:id="0"/>
            <w:r>
              <w:rPr>
                <w:rFonts w:ascii="Times New Roman" w:hAnsi="Times New Roman"/>
                <w:sz w:val="22"/>
                <w:szCs w:val="22"/>
                <w:lang w:val="ru-RU"/>
              </w:rPr>
              <w:t xml:space="preserve"> обслуживаемая</w:t>
              <w:br/>
              <w:t>Номинальная ёмкость: 132 А/ч</w:t>
              <w:br/>
              <w:t>Пусковой ток: не менее  880 А</w:t>
              <w:br/>
              <w:t>Габаритные размеры аккумулятора: 512х176х232 мм                                 Полярность прямая (+/-)</w:t>
              <w:br/>
              <w:t>Масса с электролитом: 37 кг</w:t>
            </w:r>
          </w:p>
        </w:tc>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шт</w:t>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27.20.21.000 - Аккумуляторы свинцовые для запуска поршневых двигателей</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Pr>
                <w:rFonts w:ascii="Times New Roman" w:hAnsi="Times New Roman"/>
                <w:sz w:val="22"/>
                <w:szCs w:val="22"/>
              </w:rPr>
              <w:t>N</w:t>
            </w:r>
            <w:r>
              <w:rPr>
                <w:rFonts w:ascii="Times New Roman" w:hAnsi="Times New Roman"/>
                <w:sz w:val="22"/>
                <w:szCs w:val="22"/>
                <w:lang w:val="ru-RU"/>
              </w:rPr>
              <w:t xml:space="preserve"> 1</w:t>
            </w:r>
          </w:p>
        </w:tc>
      </w:tr>
      <w:tr>
        <w:trPr>
          <w:trHeight w:val="56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2</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 xml:space="preserve">Батарея аккумуляторная автомобильная 12В 190А.ч </w:t>
            </w:r>
            <w:r>
              <w:rPr>
                <w:rFonts w:ascii="Times New Roman" w:hAnsi="Times New Roman"/>
                <w:sz w:val="22"/>
                <w:szCs w:val="22"/>
              </w:rPr>
              <w:t>Quick</w:t>
            </w:r>
            <w:r>
              <w:rPr>
                <w:rFonts w:ascii="Times New Roman" w:hAnsi="Times New Roman"/>
                <w:sz w:val="22"/>
                <w:szCs w:val="22"/>
                <w:lang w:val="ru-RU"/>
              </w:rPr>
              <w:t xml:space="preserve"> </w:t>
            </w:r>
            <w:r>
              <w:rPr>
                <w:rFonts w:ascii="Times New Roman" w:hAnsi="Times New Roman"/>
                <w:sz w:val="22"/>
                <w:szCs w:val="22"/>
              </w:rPr>
              <w:t>Master</w:t>
            </w:r>
            <w:r>
              <w:rPr>
                <w:rFonts w:ascii="Times New Roman" w:hAnsi="Times New Roman"/>
                <w:sz w:val="22"/>
                <w:szCs w:val="22"/>
                <w:lang w:val="ru-RU"/>
              </w:rPr>
              <w:t xml:space="preserve"> </w:t>
            </w:r>
            <w:r>
              <w:rPr>
                <w:rFonts w:ascii="Times New Roman" w:hAnsi="Times New Roman"/>
                <w:sz w:val="22"/>
                <w:szCs w:val="22"/>
              </w:rPr>
              <w:t>SP</w:t>
            </w:r>
            <w:r>
              <w:rPr>
                <w:rFonts w:ascii="Times New Roman" w:hAnsi="Times New Roman"/>
                <w:sz w:val="22"/>
                <w:szCs w:val="22"/>
                <w:lang w:val="ru-RU"/>
              </w:rPr>
              <w:t xml:space="preserve"> 6СТ-190</w:t>
            </w:r>
          </w:p>
        </w:tc>
        <w:tc>
          <w:tcPr>
            <w:tcW w:w="3261" w:type="dxa"/>
            <w:tcBorders>
              <w:top w:val="single" w:sz="4" w:space="0" w:color="000000"/>
              <w:left w:val="single" w:sz="4" w:space="0" w:color="000000"/>
              <w:bottom w:val="single" w:sz="4" w:space="0" w:color="000000"/>
              <w:right w:val="single" w:sz="4" w:space="0" w:color="000000"/>
            </w:tcBorders>
            <w:shd w:color="CCFFFF"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Номинальное напряжение: 12 В                                               Тип Залитая, обслуживаемая</w:t>
              <w:br/>
              <w:t xml:space="preserve">Номинальная ёмкость: 190 А/ч </w:t>
              <w:br/>
              <w:t>Пусковой ток: не менее 1250 А</w:t>
              <w:br/>
              <w:t>Габаритные размеры: 518</w:t>
            </w:r>
            <w:r>
              <w:rPr>
                <w:rFonts w:ascii="Times New Roman" w:hAnsi="Times New Roman"/>
                <w:sz w:val="22"/>
                <w:szCs w:val="22"/>
              </w:rPr>
              <w:t>x</w:t>
            </w:r>
            <w:r>
              <w:rPr>
                <w:rFonts w:ascii="Times New Roman" w:hAnsi="Times New Roman"/>
                <w:sz w:val="22"/>
                <w:szCs w:val="22"/>
                <w:lang w:val="ru-RU"/>
              </w:rPr>
              <w:t>228</w:t>
            </w:r>
            <w:r>
              <w:rPr>
                <w:rFonts w:ascii="Times New Roman" w:hAnsi="Times New Roman"/>
                <w:sz w:val="22"/>
                <w:szCs w:val="22"/>
              </w:rPr>
              <w:t>x</w:t>
            </w:r>
            <w:r>
              <w:rPr>
                <w:rFonts w:ascii="Times New Roman" w:hAnsi="Times New Roman"/>
                <w:sz w:val="22"/>
                <w:szCs w:val="22"/>
                <w:lang w:val="ru-RU"/>
              </w:rPr>
              <w:t>240 мм              Полярность прямая (+/-)</w:t>
              <w:br/>
              <w:t>Масса с электролитом:51,5 кг</w:t>
            </w:r>
          </w:p>
        </w:tc>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шт</w:t>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27.20.21.000 - Аккумуляторы свинцовые для запуска поршневых двигателей</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Pr>
                <w:rFonts w:ascii="Times New Roman" w:hAnsi="Times New Roman"/>
                <w:sz w:val="22"/>
                <w:szCs w:val="22"/>
              </w:rPr>
              <w:t>N</w:t>
            </w:r>
            <w:r>
              <w:rPr>
                <w:rFonts w:ascii="Times New Roman" w:hAnsi="Times New Roman"/>
                <w:sz w:val="22"/>
                <w:szCs w:val="22"/>
                <w:lang w:val="ru-RU"/>
              </w:rPr>
              <w:t xml:space="preserve"> 1</w:t>
            </w:r>
          </w:p>
        </w:tc>
      </w:tr>
      <w:tr>
        <w:trPr>
          <w:trHeight w:val="3693"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3</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 xml:space="preserve">Батарея аккумуляторная автомобильная 12В 75А.ч </w:t>
            </w:r>
            <w:r>
              <w:rPr>
                <w:rFonts w:ascii="Times New Roman" w:hAnsi="Times New Roman"/>
                <w:sz w:val="22"/>
                <w:szCs w:val="22"/>
              </w:rPr>
              <w:t>Aktex</w:t>
            </w:r>
            <w:r>
              <w:rPr>
                <w:rFonts w:ascii="Times New Roman" w:hAnsi="Times New Roman"/>
                <w:sz w:val="22"/>
                <w:szCs w:val="22"/>
                <w:lang w:val="ru-RU"/>
              </w:rPr>
              <w:t xml:space="preserve"> 6СТ-75</w:t>
            </w:r>
          </w:p>
        </w:tc>
        <w:tc>
          <w:tcPr>
            <w:tcW w:w="3261" w:type="dxa"/>
            <w:tcBorders>
              <w:top w:val="single" w:sz="4" w:space="0" w:color="000000"/>
              <w:left w:val="single" w:sz="4" w:space="0" w:color="000000"/>
              <w:bottom w:val="single" w:sz="4" w:space="0" w:color="000000"/>
              <w:right w:val="single" w:sz="4" w:space="0" w:color="000000"/>
            </w:tcBorders>
            <w:shd w:color="CCFFFF" w:fill="FFFFFF" w:val="clear"/>
            <w:vAlign w:val="center"/>
          </w:tcPr>
          <w:p>
            <w:pPr>
              <w:pStyle w:val="Normal"/>
              <w:widowControl w:val="false"/>
              <w:rPr>
                <w:rFonts w:ascii="Times New Roman" w:hAnsi="Times New Roman"/>
                <w:sz w:val="22"/>
                <w:szCs w:val="22"/>
              </w:rPr>
            </w:pPr>
            <w:r>
              <w:rPr>
                <w:rFonts w:ascii="Times New Roman" w:hAnsi="Times New Roman"/>
                <w:sz w:val="22"/>
                <w:szCs w:val="22"/>
                <w:lang w:val="ru-RU"/>
              </w:rPr>
              <w:t>Номинальное напряжение: 12 В                                          Тип Залитая, обслуживаемая                               Номинальная ёмкость: 75 А/ч</w:t>
              <w:br/>
              <w:t xml:space="preserve">Пусковой ток: не менее 700 А </w:t>
              <w:br/>
              <w:t xml:space="preserve">Габаритные размеры аккумулятора: 280х178х190 мм.                               </w:t>
            </w:r>
            <w:r>
              <w:rPr>
                <w:rFonts w:ascii="Times New Roman" w:hAnsi="Times New Roman"/>
                <w:sz w:val="22"/>
                <w:szCs w:val="22"/>
              </w:rPr>
              <w:t>Полярность прямая (+/-)                                                  Масса с электролитом: 19,4 кг</w:t>
            </w:r>
          </w:p>
        </w:tc>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шт</w:t>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27.20.21.000 - Аккумуляторы свинцовые для запуска поршневых двигателей</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Pr>
                <w:rFonts w:ascii="Times New Roman" w:hAnsi="Times New Roman"/>
                <w:sz w:val="22"/>
                <w:szCs w:val="22"/>
              </w:rPr>
              <w:t>N</w:t>
            </w:r>
            <w:r>
              <w:rPr>
                <w:rFonts w:ascii="Times New Roman" w:hAnsi="Times New Roman"/>
                <w:sz w:val="22"/>
                <w:szCs w:val="22"/>
                <w:lang w:val="ru-RU"/>
              </w:rPr>
              <w:t xml:space="preserve"> 1</w:t>
            </w:r>
          </w:p>
        </w:tc>
      </w:tr>
      <w:tr>
        <w:trPr>
          <w:trHeight w:val="2726"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4</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 xml:space="preserve">Батарея аккумуляторная автомобильная 12В 90А.ч </w:t>
            </w:r>
            <w:r>
              <w:rPr>
                <w:rFonts w:ascii="Times New Roman" w:hAnsi="Times New Roman"/>
                <w:sz w:val="22"/>
                <w:szCs w:val="22"/>
              </w:rPr>
              <w:t>Aktex</w:t>
            </w:r>
            <w:r>
              <w:rPr>
                <w:rFonts w:ascii="Times New Roman" w:hAnsi="Times New Roman"/>
                <w:sz w:val="22"/>
                <w:szCs w:val="22"/>
                <w:lang w:val="ru-RU"/>
              </w:rPr>
              <w:t xml:space="preserve"> 6СТ-90</w:t>
            </w:r>
          </w:p>
        </w:tc>
        <w:tc>
          <w:tcPr>
            <w:tcW w:w="3261" w:type="dxa"/>
            <w:tcBorders>
              <w:top w:val="single" w:sz="4" w:space="0" w:color="000000"/>
              <w:left w:val="single" w:sz="4" w:space="0" w:color="000000"/>
              <w:bottom w:val="single" w:sz="4" w:space="0" w:color="000000"/>
              <w:right w:val="single" w:sz="4" w:space="0" w:color="000000"/>
            </w:tcBorders>
            <w:shd w:color="CCFFFF"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Номинальное напряжение: 12 В                                          Тип Залитая, обслуживаемая</w:t>
              <w:br/>
              <w:t>Номинальная ёмкость : 90 А/ч</w:t>
              <w:br/>
              <w:t xml:space="preserve">Пусковой ток: не менее 660 А  </w:t>
              <w:br/>
              <w:t>Габаритные размеры аккумулятора: 345х175х213мм Полярность прямая (+/-)</w:t>
              <w:br/>
              <w:t xml:space="preserve">Масса с электролитом: 21 кг     </w:t>
            </w:r>
          </w:p>
        </w:tc>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rFonts w:ascii="Times New Roman" w:hAnsi="Times New Roman"/>
                <w:sz w:val="22"/>
                <w:szCs w:val="22"/>
              </w:rPr>
              <w:t>шт</w:t>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27.20.21.000 - Аккумуляторы свинцовые для запуска поршневых двигателей</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 xml:space="preserve">*Установлен запрет на товары  импортного производства в соответствии с Приложением </w:t>
            </w:r>
            <w:r>
              <w:rPr>
                <w:rFonts w:ascii="Times New Roman" w:hAnsi="Times New Roman"/>
                <w:sz w:val="22"/>
                <w:szCs w:val="22"/>
              </w:rPr>
              <w:t>N</w:t>
            </w:r>
            <w:r>
              <w:rPr>
                <w:rFonts w:ascii="Times New Roman" w:hAnsi="Times New Roman"/>
                <w:sz w:val="22"/>
                <w:szCs w:val="22"/>
                <w:lang w:val="ru-RU"/>
              </w:rPr>
              <w:t xml:space="preserve"> 1</w:t>
            </w:r>
          </w:p>
        </w:tc>
      </w:tr>
      <w:tr>
        <w:trPr>
          <w:trHeight w:val="56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2"/>
                <w:szCs w:val="22"/>
              </w:rPr>
            </w:pPr>
            <w:r>
              <w:rPr>
                <w:rFonts w:ascii="Times New Roman" w:hAnsi="Times New Roman"/>
                <w:sz w:val="22"/>
                <w:szCs w:val="22"/>
              </w:rPr>
              <w:t>5</w:t>
            </w:r>
          </w:p>
        </w:tc>
        <w:tc>
          <w:tcPr>
            <w:tcW w:w="1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Батарея аккумуляторная автомобильный кальциевая 12В 100А.ч Varta Стандарт L5-1</w:t>
            </w:r>
          </w:p>
        </w:tc>
        <w:tc>
          <w:tcPr>
            <w:tcW w:w="326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Times New Roman" w:hAnsi="Times New Roman"/>
                <w:color w:val="000000"/>
                <w:sz w:val="22"/>
                <w:szCs w:val="22"/>
                <w:lang w:val="ru-RU"/>
              </w:rPr>
            </w:pPr>
            <w:r>
              <w:rPr>
                <w:rFonts w:ascii="Times New Roman" w:hAnsi="Times New Roman"/>
                <w:color w:val="000000"/>
                <w:sz w:val="22"/>
                <w:szCs w:val="22"/>
                <w:lang w:val="ru-RU"/>
              </w:rPr>
              <w:t>Аккумулятор 12В 100 А/ч . Технические характеристики. Напряжение (В): 12V. Тип клемм: A (конус Евро). Высота с клеммой: 190.  Бренд: VARTA</w:t>
            </w:r>
          </w:p>
          <w:p>
            <w:pPr>
              <w:pStyle w:val="Normal"/>
              <w:widowControl w:val="false"/>
              <w:rPr>
                <w:rFonts w:ascii="Times New Roman" w:hAnsi="Times New Roman"/>
                <w:color w:val="000000"/>
                <w:sz w:val="22"/>
                <w:szCs w:val="22"/>
                <w:lang w:val="ru-RU"/>
              </w:rPr>
            </w:pPr>
            <w:r>
              <w:rPr>
                <w:rFonts w:ascii="Times New Roman" w:hAnsi="Times New Roman"/>
                <w:color w:val="000000"/>
                <w:sz w:val="22"/>
                <w:szCs w:val="22"/>
                <w:lang w:val="ru-RU"/>
              </w:rPr>
              <w:t>Высота (мм): 190. Ширина (мм): 175. Длина (мм): 353.Стартерный ток EN (А):</w:t>
            </w:r>
          </w:p>
          <w:p>
            <w:pPr>
              <w:pStyle w:val="Normal"/>
              <w:widowControl w:val="false"/>
              <w:rPr>
                <w:rFonts w:ascii="Times New Roman" w:hAnsi="Times New Roman"/>
                <w:color w:val="000000"/>
                <w:sz w:val="22"/>
                <w:szCs w:val="22"/>
                <w:lang w:val="ru-RU"/>
              </w:rPr>
            </w:pPr>
            <w:r>
              <w:rPr>
                <w:rFonts w:ascii="Times New Roman" w:hAnsi="Times New Roman"/>
                <w:color w:val="000000"/>
                <w:sz w:val="22"/>
                <w:szCs w:val="22"/>
                <w:lang w:val="ru-RU"/>
              </w:rPr>
              <w:t>820. Ёмкость (Ah): 100. Тип крепления: Нижнее. Технология производства:</w:t>
            </w:r>
          </w:p>
          <w:p>
            <w:pPr>
              <w:pStyle w:val="Normal"/>
              <w:widowControl w:val="false"/>
              <w:rPr>
                <w:rFonts w:ascii="Times New Roman" w:hAnsi="Times New Roman"/>
                <w:color w:val="000000"/>
                <w:sz w:val="22"/>
                <w:szCs w:val="22"/>
                <w:lang w:val="ru-RU"/>
              </w:rPr>
            </w:pPr>
            <w:r>
              <w:rPr>
                <w:rFonts w:ascii="Times New Roman" w:hAnsi="Times New Roman"/>
                <w:color w:val="000000"/>
                <w:sz w:val="22"/>
                <w:szCs w:val="22"/>
                <w:lang w:val="ru-RU"/>
              </w:rPr>
              <w:t>Ca/Ca. Тип корпуса: L5. Полярность: 0 (обр.пол.)</w:t>
            </w:r>
          </w:p>
        </w:tc>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lang w:val="ru-RU"/>
              </w:rPr>
            </w:pPr>
            <w:r>
              <w:rPr>
                <w:rFonts w:ascii="Times New Roman" w:hAnsi="Times New Roman"/>
                <w:sz w:val="22"/>
                <w:szCs w:val="22"/>
                <w:lang w:val="ru-RU"/>
              </w:rPr>
              <w:t>2</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шт</w:t>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Times New Roman" w:hAnsi="Times New Roman"/>
                <w:sz w:val="22"/>
                <w:szCs w:val="22"/>
                <w:lang w:val="ru-RU"/>
              </w:rPr>
            </w:pPr>
            <w:r>
              <w:rPr>
                <w:rFonts w:ascii="Times New Roman" w:hAnsi="Times New Roman"/>
                <w:sz w:val="22"/>
                <w:szCs w:val="22"/>
                <w:lang w:val="ru-RU"/>
              </w:rPr>
              <w:t>27.20.23.130-</w:t>
            </w:r>
            <w:r>
              <w:rPr>
                <w:rFonts w:ascii="Times New Roman" w:hAnsi="Times New Roman"/>
                <w:sz w:val="22"/>
                <w:szCs w:val="22"/>
              </w:rPr>
              <w:t xml:space="preserve"> </w:t>
            </w:r>
            <w:r>
              <w:rPr>
                <w:rFonts w:ascii="Times New Roman" w:hAnsi="Times New Roman"/>
                <w:sz w:val="22"/>
                <w:szCs w:val="22"/>
                <w:lang w:val="ru-RU"/>
              </w:rPr>
              <w:t>Батареи аккумуляторные литий-ионные</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22"/>
                <w:szCs w:val="22"/>
                <w:lang w:val="ru-RU"/>
              </w:rPr>
            </w:pPr>
            <w:r>
              <w:rPr>
                <w:rFonts w:ascii="Times New Roman" w:hAnsi="Times New Roman"/>
                <w:sz w:val="22"/>
                <w:szCs w:val="22"/>
                <w:lang w:val="ru-RU"/>
              </w:rPr>
              <w:t>Установлен режим преимущества закупки российской продукции</w:t>
            </w:r>
          </w:p>
        </w:tc>
      </w:tr>
    </w:tbl>
    <w:p>
      <w:pPr>
        <w:pStyle w:val="ListParagraph"/>
        <w:ind w:left="0" w:hanging="0"/>
        <w:rPr>
          <w:rFonts w:ascii="Times New Roman" w:hAnsi="Times New Roman"/>
          <w:sz w:val="24"/>
          <w:szCs w:val="24"/>
          <w:lang w:val="ru-RU"/>
        </w:rPr>
      </w:pPr>
      <w:r>
        <w:rPr>
          <w:rFonts w:ascii="Times New Roman" w:hAnsi="Times New Roman"/>
          <w:sz w:val="24"/>
          <w:szCs w:val="24"/>
          <w:lang w:val="ru-RU"/>
        </w:rPr>
      </w:r>
    </w:p>
    <w:p>
      <w:pPr>
        <w:pStyle w:val="ListParagraph"/>
        <w:numPr>
          <w:ilvl w:val="0"/>
          <w:numId w:val="10"/>
        </w:numPr>
        <w:ind w:left="0" w:hanging="0"/>
        <w:rPr>
          <w:rFonts w:ascii="Times New Roman" w:hAnsi="Times New Roman"/>
          <w:sz w:val="24"/>
          <w:szCs w:val="24"/>
          <w:lang w:val="ru-RU"/>
        </w:rPr>
      </w:pPr>
      <w:r>
        <w:rPr>
          <w:rFonts w:ascii="Times New Roman" w:hAnsi="Times New Roman"/>
          <w:sz w:val="24"/>
          <w:szCs w:val="24"/>
          <w:lang w:val="ru-RU"/>
        </w:rPr>
        <w:t>Срок поставки: с 11.01.2027 г. до 30.06.2027 года</w:t>
      </w:r>
    </w:p>
    <w:p>
      <w:pPr>
        <w:pStyle w:val="ListParagraph"/>
        <w:numPr>
          <w:ilvl w:val="0"/>
          <w:numId w:val="11"/>
        </w:numPr>
        <w:ind w:left="0" w:hanging="0"/>
        <w:jc w:val="both"/>
        <w:rPr>
          <w:rFonts w:ascii="Times New Roman" w:hAnsi="Times New Roman"/>
          <w:sz w:val="24"/>
          <w:szCs w:val="24"/>
          <w:lang w:val="ru-RU"/>
        </w:rPr>
      </w:pPr>
      <w:r>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Pr>
          <w:rFonts w:ascii="Times New Roman" w:hAnsi="Times New Roman"/>
          <w:bCs/>
          <w:i/>
          <w:sz w:val="24"/>
          <w:szCs w:val="24"/>
          <w:lang w:val="ru-RU"/>
        </w:rPr>
        <w:t>для МСП</w:t>
      </w:r>
      <w:r>
        <w:rPr>
          <w:rFonts w:ascii="Times New Roman" w:hAnsi="Times New Roman"/>
          <w:bCs/>
          <w:sz w:val="24"/>
          <w:szCs w:val="24"/>
          <w:lang w:val="ru-RU"/>
        </w:rPr>
        <w:t xml:space="preserve">) /45 (сорока пяти) рабочих дней </w:t>
      </w:r>
      <w:r>
        <w:rPr>
          <w:rFonts w:ascii="Times New Roman" w:hAnsi="Times New Roman"/>
          <w:bCs/>
          <w:i/>
          <w:sz w:val="24"/>
          <w:szCs w:val="24"/>
          <w:lang w:val="ru-RU"/>
        </w:rPr>
        <w:t>(прочие юр.лица)</w:t>
      </w:r>
      <w:r>
        <w:rPr>
          <w:rFonts w:ascii="Times New Roman" w:hAnsi="Times New Roman"/>
          <w:bCs/>
          <w:sz w:val="24"/>
          <w:szCs w:val="24"/>
          <w:lang w:val="ru-RU"/>
        </w:rPr>
        <w:t xml:space="preserve"> с даты подписания Сторонами</w:t>
      </w:r>
      <w:r>
        <w:rPr>
          <w:rFonts w:ascii="Times New Roman" w:hAnsi="Times New Roman"/>
          <w:b/>
          <w:bCs/>
          <w:sz w:val="24"/>
          <w:szCs w:val="24"/>
          <w:lang w:val="ru-RU"/>
        </w:rPr>
        <w:t xml:space="preserve"> </w:t>
      </w:r>
      <w:r>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pPr>
        <w:pStyle w:val="BodyTextIndent"/>
        <w:numPr>
          <w:ilvl w:val="0"/>
          <w:numId w:val="12"/>
        </w:numPr>
        <w:ind w:left="0" w:hanging="0"/>
        <w:rPr>
          <w:sz w:val="24"/>
          <w:szCs w:val="24"/>
          <w:lang w:val="ru-RU"/>
        </w:rPr>
      </w:pPr>
      <w:r>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pPr>
        <w:pStyle w:val="ListParagraph"/>
        <w:numPr>
          <w:ilvl w:val="0"/>
          <w:numId w:val="13"/>
        </w:numPr>
        <w:ind w:left="0" w:hanging="0"/>
        <w:jc w:val="both"/>
        <w:rPr>
          <w:rFonts w:ascii="Times New Roman" w:hAnsi="Times New Roman"/>
          <w:sz w:val="24"/>
          <w:szCs w:val="24"/>
          <w:lang w:val="ru-RU"/>
        </w:rPr>
      </w:pPr>
      <w:r>
        <w:rPr>
          <w:rFonts w:ascii="Times New Roman" w:hAnsi="Times New Roman"/>
          <w:sz w:val="24"/>
          <w:szCs w:val="24"/>
          <w:lang w:val="ru-RU"/>
        </w:rPr>
        <w:t>Заявка должно быть оформлена по форме, приложенной к настоящему запросу, и быть действительной до «30» _декабря_ 2026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pPr>
        <w:pStyle w:val="BodyTextIndent"/>
        <w:numPr>
          <w:ilvl w:val="0"/>
          <w:numId w:val="14"/>
        </w:numPr>
        <w:ind w:left="0" w:hanging="0"/>
        <w:rPr>
          <w:sz w:val="24"/>
          <w:szCs w:val="24"/>
        </w:rPr>
      </w:pPr>
      <w:r>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pPr>
        <w:pStyle w:val="ListParagraph"/>
        <w:ind w:left="0" w:hanging="0"/>
        <w:jc w:val="both"/>
        <w:rPr>
          <w:rFonts w:ascii="Times New Roman" w:hAnsi="Times New Roman"/>
          <w:sz w:val="24"/>
          <w:szCs w:val="24"/>
          <w:lang w:val="ru-RU"/>
        </w:rPr>
      </w:pPr>
      <w:r>
        <w:rPr>
          <w:rFonts w:ascii="Times New Roman" w:hAnsi="Times New Roman"/>
          <w:sz w:val="24"/>
          <w:szCs w:val="24"/>
          <w:lang w:val="ru-RU"/>
        </w:rPr>
        <w:t>Предлагаемая цена продукции должна быть указана с учетом НДС</w:t>
      </w:r>
      <w:r>
        <w:rPr>
          <w:rFonts w:ascii="Times New Roman" w:hAnsi="Times New Roman"/>
          <w:b/>
          <w:bCs/>
          <w:i/>
          <w:iCs/>
          <w:sz w:val="24"/>
          <w:szCs w:val="24"/>
          <w:lang w:val="ru-RU"/>
        </w:rPr>
        <w:t xml:space="preserve"> </w:t>
      </w:r>
      <w:r>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Pr>
          <w:rFonts w:eastAsia="Calibri" w:ascii="Times New Roman" w:hAnsi="Times New Roman"/>
          <w:sz w:val="24"/>
          <w:szCs w:val="24"/>
          <w:lang w:val="ru-RU"/>
        </w:rPr>
        <w:t xml:space="preserve">678185 РФ, Республика Саха (Якутия), Мирнинский улус пос. Чернышевский,  </w:t>
      </w:r>
      <w:r>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pPr>
        <w:pStyle w:val="ListParagraph"/>
        <w:ind w:left="0" w:hanging="0"/>
        <w:jc w:val="both"/>
        <w:rPr>
          <w:rFonts w:ascii="Times New Roman" w:hAnsi="Times New Roman"/>
          <w:b/>
          <w:i/>
          <w:i/>
          <w:sz w:val="24"/>
          <w:szCs w:val="24"/>
          <w:lang w:val="ru-RU"/>
        </w:rPr>
      </w:pPr>
      <w:r>
        <w:rPr>
          <w:rFonts w:ascii="Times New Roman" w:hAnsi="Times New Roman"/>
          <w:sz w:val="24"/>
          <w:szCs w:val="24"/>
          <w:lang w:val="ru-RU"/>
        </w:rPr>
        <w:t xml:space="preserve"> </w:t>
      </w:r>
      <w:r>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 установлен запрет на товары  импортного производства по поз.№ 1-№ 4, в соответствии с Приложением </w:t>
      </w:r>
      <w:r>
        <w:rPr>
          <w:rFonts w:ascii="Times New Roman" w:hAnsi="Times New Roman"/>
          <w:b/>
          <w:i/>
          <w:sz w:val="24"/>
          <w:szCs w:val="24"/>
        </w:rPr>
        <w:t>N</w:t>
      </w:r>
      <w:r>
        <w:rPr>
          <w:rFonts w:ascii="Times New Roman" w:hAnsi="Times New Roman"/>
          <w:b/>
          <w:i/>
          <w:sz w:val="24"/>
          <w:szCs w:val="24"/>
          <w:lang w:val="ru-RU"/>
        </w:rPr>
        <w:t xml:space="preserve"> 1 к постановлению Правительства Российской Федерации от 23 декабря 2024 г. </w:t>
      </w:r>
      <w:r>
        <w:rPr>
          <w:rFonts w:ascii="Times New Roman" w:hAnsi="Times New Roman"/>
          <w:b/>
          <w:i/>
          <w:sz w:val="24"/>
          <w:szCs w:val="24"/>
        </w:rPr>
        <w:t>N</w:t>
      </w:r>
      <w:r>
        <w:rPr>
          <w:rFonts w:ascii="Times New Roman" w:hAnsi="Times New Roman"/>
          <w:b/>
          <w:i/>
          <w:sz w:val="24"/>
          <w:szCs w:val="24"/>
          <w:lang w:val="ru-RU"/>
        </w:rPr>
        <w:t xml:space="preserve"> 1875. </w:t>
      </w:r>
    </w:p>
    <w:p>
      <w:pPr>
        <w:pStyle w:val="ListParagraph"/>
        <w:ind w:left="0" w:hanging="0"/>
        <w:jc w:val="both"/>
        <w:rPr>
          <w:rFonts w:ascii="Times New Roman" w:hAnsi="Times New Roman" w:eastAsia="Times New Roman"/>
          <w:b/>
          <w:color w:val="091E42"/>
          <w:sz w:val="24"/>
          <w:szCs w:val="24"/>
          <w:lang w:val="ru-RU" w:eastAsia="x-none"/>
        </w:rPr>
      </w:pPr>
      <w:r>
        <w:rPr>
          <w:rFonts w:eastAsia="Times New Roman" w:ascii="Times New Roman" w:hAnsi="Times New Roman"/>
          <w:b/>
          <w:sz w:val="24"/>
          <w:szCs w:val="24"/>
          <w:lang w:val="ru-RU" w:eastAsia="x-none"/>
        </w:rPr>
        <w:t>*</w:t>
      </w:r>
      <w:r>
        <w:rPr>
          <w:rFonts w:eastAsia="Times New Roman" w:ascii="Times New Roman" w:hAnsi="Times New Roman"/>
          <w:b/>
          <w:sz w:val="24"/>
          <w:szCs w:val="24"/>
          <w:lang w:val="x-none" w:eastAsia="x-none"/>
        </w:rPr>
        <w:t xml:space="preserve">Запрет может не применяться в соответствии с </w:t>
      </w:r>
      <w:r>
        <w:rPr>
          <w:rFonts w:eastAsia="Times New Roman" w:ascii="Times New Roman" w:hAnsi="Times New Roman"/>
          <w:b/>
          <w:color w:val="091E42"/>
          <w:sz w:val="24"/>
          <w:szCs w:val="24"/>
          <w:lang w:val="x-none" w:eastAsia="x-none"/>
        </w:rPr>
        <w:t>подп. "и" п. 5 - Закупка товаров в одном из след. случаев: -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 - ни одна из использованных при определении НМЦК (НМЦД) или цены контракта (договора), заключаемого с ед.поставщиком,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r>
        <w:rPr>
          <w:rFonts w:eastAsia="Times New Roman" w:ascii="Times New Roman" w:hAnsi="Times New Roman"/>
          <w:b/>
          <w:color w:val="091E42"/>
          <w:sz w:val="24"/>
          <w:szCs w:val="24"/>
          <w:lang w:val="ru-RU" w:eastAsia="x-none"/>
        </w:rPr>
        <w:t>.</w:t>
      </w:r>
    </w:p>
    <w:p>
      <w:pPr>
        <w:pStyle w:val="ListParagraph"/>
        <w:ind w:left="0" w:hanging="0"/>
        <w:jc w:val="both"/>
        <w:rPr>
          <w:rFonts w:ascii="Times New Roman" w:hAnsi="Times New Roman"/>
          <w:b/>
          <w:i/>
          <w:i/>
          <w:sz w:val="24"/>
          <w:szCs w:val="24"/>
          <w:lang w:val="ru-RU"/>
        </w:rPr>
      </w:pPr>
      <w:r>
        <w:rPr>
          <w:rFonts w:ascii="Times New Roman" w:hAnsi="Times New Roman"/>
          <w:b/>
          <w:i/>
          <w:sz w:val="24"/>
          <w:szCs w:val="24"/>
          <w:lang w:val="ru-RU"/>
        </w:rPr>
        <w:t xml:space="preserve"> </w:t>
      </w:r>
      <w:r>
        <w:rPr>
          <w:rFonts w:ascii="Times New Roman" w:hAnsi="Times New Roman"/>
          <w:b/>
          <w:i/>
          <w:sz w:val="24"/>
          <w:szCs w:val="24"/>
          <w:lang w:val="ru-RU"/>
        </w:rPr>
        <w:t xml:space="preserve">По поз.№ 5 </w:t>
      </w:r>
      <w:r>
        <w:rPr>
          <w:rFonts w:ascii="Times New Roman" w:hAnsi="Times New Roman"/>
          <w:b/>
          <w:sz w:val="22"/>
          <w:szCs w:val="22"/>
          <w:lang w:val="ru-RU"/>
        </w:rPr>
        <w:t>Установлен режим преимущества закупки российской продукции</w:t>
      </w:r>
      <w:r>
        <w:rPr>
          <w:rFonts w:ascii="Times New Roman" w:hAnsi="Times New Roman"/>
          <w:b/>
          <w:i/>
          <w:sz w:val="24"/>
          <w:szCs w:val="24"/>
          <w:lang w:val="ru-RU"/>
        </w:rPr>
        <w:t xml:space="preserve">  по постановлению Правительства Российской Федерации от 23 декабря 2024 г. </w:t>
      </w:r>
      <w:r>
        <w:rPr>
          <w:rFonts w:ascii="Times New Roman" w:hAnsi="Times New Roman"/>
          <w:b/>
          <w:i/>
          <w:sz w:val="24"/>
          <w:szCs w:val="24"/>
        </w:rPr>
        <w:t>N</w:t>
      </w:r>
      <w:r>
        <w:rPr>
          <w:rFonts w:ascii="Times New Roman" w:hAnsi="Times New Roman"/>
          <w:b/>
          <w:i/>
          <w:sz w:val="24"/>
          <w:szCs w:val="24"/>
          <w:lang w:val="ru-RU"/>
        </w:rPr>
        <w:t xml:space="preserve"> 1875. </w:t>
      </w:r>
    </w:p>
    <w:p>
      <w:pPr>
        <w:pStyle w:val="ListParagraph"/>
        <w:ind w:left="0" w:hanging="0"/>
        <w:jc w:val="both"/>
        <w:rPr>
          <w:rFonts w:ascii="Times New Roman" w:hAnsi="Times New Roman"/>
          <w:b/>
          <w:sz w:val="24"/>
          <w:szCs w:val="24"/>
          <w:lang w:val="ru-RU"/>
        </w:rPr>
      </w:pPr>
      <w:r>
        <w:rPr>
          <w:rFonts w:ascii="Times New Roman" w:hAnsi="Times New Roman"/>
          <w:b/>
          <w:sz w:val="24"/>
          <w:szCs w:val="24"/>
          <w:lang w:val="ru-RU"/>
        </w:rPr>
      </w:r>
    </w:p>
    <w:p>
      <w:pPr>
        <w:pStyle w:val="ListParagraph"/>
        <w:ind w:left="0" w:hanging="0"/>
        <w:jc w:val="both"/>
        <w:rPr>
          <w:rFonts w:ascii="Times New Roman" w:hAnsi="Times New Roman"/>
          <w:sz w:val="24"/>
          <w:szCs w:val="24"/>
          <w:lang w:val="ru-RU"/>
        </w:rPr>
      </w:pPr>
      <w:r>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pPr>
        <w:pStyle w:val="ListParagraph"/>
        <w:tabs>
          <w:tab w:val="clear" w:pos="708"/>
          <w:tab w:val="left" w:pos="288" w:leader="none"/>
        </w:tabs>
        <w:ind w:left="-57" w:hanging="85"/>
        <w:rPr>
          <w:rFonts w:ascii="Times New Roman" w:hAnsi="Times New Roman"/>
          <w:b/>
          <w:sz w:val="24"/>
          <w:szCs w:val="24"/>
          <w:lang w:val="ru-RU"/>
        </w:rPr>
      </w:pPr>
      <w:r>
        <w:rPr>
          <w:rFonts w:ascii="Times New Roman" w:hAnsi="Times New Roman"/>
          <w:sz w:val="24"/>
          <w:szCs w:val="24"/>
          <w:lang w:val="ru-RU"/>
        </w:rPr>
        <w:t xml:space="preserve">6.   </w:t>
      </w:r>
      <w:r>
        <w:rPr>
          <w:rFonts w:ascii="Times New Roman" w:hAnsi="Times New Roman"/>
          <w:b/>
          <w:sz w:val="24"/>
          <w:szCs w:val="24"/>
          <w:lang w:val="ru-RU"/>
        </w:rPr>
        <w:t xml:space="preserve">Предложение должно быть подано до 12.00 часов местного времени 18.06.2026 года в следующем порядке: на e-mail: </w:t>
      </w:r>
      <w:r>
        <w:rPr>
          <w:rFonts w:ascii="Times New Roman" w:hAnsi="Times New Roman"/>
          <w:b/>
          <w:i/>
          <w:color w:val="0070C0"/>
          <w:sz w:val="24"/>
          <w:szCs w:val="24"/>
          <w:lang w:val="ru-RU"/>
        </w:rPr>
        <w:t>petrukhinaga@rushydro.ru</w:t>
      </w:r>
      <w:r>
        <w:rPr>
          <w:rFonts w:ascii="Times New Roman" w:hAnsi="Times New Roman"/>
          <w:b/>
          <w:color w:val="0070C0"/>
          <w:sz w:val="24"/>
          <w:szCs w:val="24"/>
          <w:lang w:val="ru-RU"/>
        </w:rPr>
        <w:t xml:space="preserve">  </w:t>
      </w:r>
      <w:r>
        <w:rPr>
          <w:rFonts w:ascii="Times New Roman" w:hAnsi="Times New Roman"/>
          <w:b/>
          <w:sz w:val="24"/>
          <w:szCs w:val="24"/>
          <w:lang w:val="ru-RU"/>
        </w:rPr>
        <w:t xml:space="preserve">или на площадке ЭТП РАД - Электронная (торговая) площадка: https://tender.lot-online.ru. </w:t>
      </w:r>
    </w:p>
    <w:p>
      <w:pPr>
        <w:pStyle w:val="ListParagraph"/>
        <w:numPr>
          <w:ilvl w:val="0"/>
          <w:numId w:val="15"/>
        </w:numPr>
        <w:ind w:left="0" w:hanging="426"/>
        <w:jc w:val="both"/>
        <w:rPr>
          <w:rFonts w:ascii="Times New Roman" w:hAnsi="Times New Roman"/>
          <w:sz w:val="24"/>
          <w:szCs w:val="24"/>
          <w:lang w:val="ru-RU"/>
        </w:rPr>
      </w:pPr>
      <w:r>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pPr>
        <w:pStyle w:val="Normal"/>
        <w:jc w:val="both"/>
        <w:rPr>
          <w:rFonts w:ascii="Times New Roman" w:hAnsi="Times New Roman"/>
          <w:sz w:val="24"/>
          <w:szCs w:val="24"/>
          <w:lang w:val="ru-RU"/>
        </w:rPr>
      </w:pPr>
      <w:r>
        <w:rPr>
          <w:rFonts w:ascii="Times New Roman" w:hAnsi="Times New Roman"/>
          <w:sz w:val="24"/>
          <w:szCs w:val="24"/>
          <w:lang w:val="ru-RU"/>
        </w:rPr>
        <w:t xml:space="preserve">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 </w:t>
      </w:r>
      <w:r>
        <w:rPr>
          <w:rFonts w:ascii="Times New Roman" w:hAnsi="Times New Roman"/>
          <w:b/>
          <w:i/>
          <w:color w:val="0070C0"/>
          <w:sz w:val="24"/>
          <w:szCs w:val="24"/>
          <w:lang w:val="ru-RU"/>
        </w:rPr>
        <w:t>petrukhinaga@rushydro.ru</w:t>
      </w:r>
      <w:r>
        <w:rPr>
          <w:rFonts w:ascii="Times New Roman" w:hAnsi="Times New Roman"/>
          <w:b/>
          <w:color w:val="0070C0"/>
          <w:sz w:val="24"/>
          <w:szCs w:val="24"/>
          <w:lang w:val="ru-RU"/>
        </w:rPr>
        <w:t xml:space="preserve">  </w:t>
      </w:r>
      <w:r>
        <w:rPr>
          <w:rFonts w:ascii="Times New Roman" w:hAnsi="Times New Roman"/>
          <w:sz w:val="24"/>
          <w:szCs w:val="24"/>
          <w:lang w:val="ru-RU"/>
        </w:rPr>
        <w:t xml:space="preserve"> (ответственный – инженер Петрухина Г.А.).</w:t>
      </w:r>
    </w:p>
    <w:p>
      <w:pPr>
        <w:pStyle w:val="Normal"/>
        <w:tabs>
          <w:tab w:val="clear" w:pos="708"/>
          <w:tab w:val="left" w:pos="709" w:leader="none"/>
        </w:tabs>
        <w:rPr>
          <w:rFonts w:ascii="Times New Roman" w:hAnsi="Times New Roman"/>
          <w:b/>
          <w:bCs/>
          <w:i/>
          <w:i/>
          <w:iCs/>
          <w:sz w:val="24"/>
          <w:szCs w:val="24"/>
          <w:lang w:val="ru-RU"/>
        </w:rPr>
      </w:pPr>
      <w:r>
        <w:rPr>
          <w:rFonts w:ascii="Times New Roman" w:hAnsi="Times New Roman"/>
          <w:b/>
          <w:bCs/>
          <w:i/>
          <w:iCs/>
          <w:sz w:val="24"/>
          <w:szCs w:val="24"/>
          <w:lang w:val="ru-RU"/>
        </w:rPr>
      </w:r>
    </w:p>
    <w:p>
      <w:pPr>
        <w:pStyle w:val="Standard"/>
        <w:rPr>
          <w:rFonts w:ascii="Times New Roman" w:hAnsi="Times New Roman" w:cs="Times New Roman"/>
          <w:szCs w:val="24"/>
        </w:rPr>
      </w:pPr>
      <w:r>
        <w:rPr>
          <w:rFonts w:cs="Times New Roman" w:ascii="Times New Roman" w:hAnsi="Times New Roman"/>
          <w:szCs w:val="24"/>
        </w:rPr>
        <w:t>Приложение:</w:t>
      </w:r>
    </w:p>
    <w:p>
      <w:pPr>
        <w:pStyle w:val="Standard"/>
        <w:numPr>
          <w:ilvl w:val="0"/>
          <w:numId w:val="16"/>
        </w:numPr>
        <w:rPr>
          <w:rFonts w:ascii="Times New Roman" w:hAnsi="Times New Roman" w:cs="Times New Roman"/>
          <w:szCs w:val="24"/>
        </w:rPr>
      </w:pPr>
      <w:r>
        <w:rPr>
          <w:rFonts w:cs="Times New Roman" w:ascii="Times New Roman" w:hAnsi="Times New Roman"/>
          <w:szCs w:val="24"/>
        </w:rPr>
        <w:t xml:space="preserve">Форма заявки </w:t>
      </w:r>
    </w:p>
    <w:p>
      <w:pPr>
        <w:pStyle w:val="Standard"/>
        <w:rPr>
          <w:rFonts w:ascii="Times New Roman" w:hAnsi="Times New Roman" w:cs="Times New Roman"/>
          <w:szCs w:val="24"/>
        </w:rPr>
      </w:pPr>
      <w:r>
        <w:rPr>
          <w:rFonts w:cs="Times New Roman" w:ascii="Times New Roman" w:hAnsi="Times New Roman"/>
          <w:szCs w:val="24"/>
        </w:rPr>
      </w:r>
    </w:p>
    <w:p>
      <w:pPr>
        <w:pStyle w:val="Standard"/>
        <w:jc w:val="both"/>
        <w:rPr>
          <w:rFonts w:ascii="Times New Roman" w:hAnsi="Times New Roman" w:cs="Times New Roman"/>
          <w:szCs w:val="24"/>
        </w:rPr>
      </w:pPr>
      <w:r>
        <w:rPr>
          <w:rFonts w:cs="Times New Roman" w:ascii="Times New Roman" w:hAnsi="Times New Roman"/>
          <w:szCs w:val="24"/>
        </w:rPr>
        <w:t>С уважением,</w:t>
      </w:r>
      <w:r>
        <w:rPr>
          <w:rFonts w:eastAsia="Times New Roman" w:cs="Times New Roman" w:ascii="Times New Roman" w:hAnsi="Times New Roman"/>
          <w:b/>
          <w:szCs w:val="24"/>
        </w:rPr>
        <w:t xml:space="preserve">         </w:t>
      </w:r>
    </w:p>
    <w:p>
      <w:pPr>
        <w:pStyle w:val="Standard"/>
        <w:jc w:val="both"/>
        <w:rPr>
          <w:rFonts w:ascii="Times New Roman" w:hAnsi="Times New Roman" w:cs="Times New Roman"/>
          <w:szCs w:val="24"/>
        </w:rPr>
      </w:pPr>
      <w:r>
        <w:rPr>
          <w:rFonts w:eastAsia="Times New Roman" w:cs="Times New Roman" w:ascii="Times New Roman" w:hAnsi="Times New Roman"/>
          <w:b/>
          <w:szCs w:val="24"/>
        </w:rPr>
        <w:t xml:space="preserve">                                             </w:t>
      </w:r>
    </w:p>
    <w:p>
      <w:pPr>
        <w:pStyle w:val="Standard"/>
        <w:jc w:val="both"/>
        <w:rPr>
          <w:rFonts w:ascii="Times New Roman" w:hAnsi="Times New Roman" w:cs="Times New Roman"/>
          <w:szCs w:val="24"/>
        </w:rPr>
      </w:pPr>
      <w:r>
        <w:rPr>
          <w:rFonts w:cs="Times New Roman" w:ascii="Times New Roman" w:hAnsi="Times New Roman"/>
          <w:szCs w:val="24"/>
        </w:rPr>
        <w:t xml:space="preserve">И.о.директора                                                                                                                  С.П.Муж      </w:t>
      </w:r>
    </w:p>
    <w:p>
      <w:pPr>
        <w:pStyle w:val="Standard"/>
        <w:jc w:val="both"/>
        <w:rPr>
          <w:rFonts w:ascii="Times New Roman" w:hAnsi="Times New Roman" w:cs="Times New Roman"/>
          <w:szCs w:val="24"/>
        </w:rPr>
      </w:pPr>
      <w:r>
        <w:rPr>
          <w:rFonts w:cs="Times New Roman" w:ascii="Times New Roman" w:hAnsi="Times New Roman"/>
          <w:szCs w:val="24"/>
        </w:rPr>
        <w:t xml:space="preserve">                                                                                                                                                                                                                                                                                                                                                                                              </w:t>
      </w:r>
    </w:p>
    <w:p>
      <w:pPr>
        <w:pStyle w:val="Normal"/>
        <w:rPr>
          <w:rFonts w:ascii="Times New Roman" w:hAnsi="Times New Roman"/>
          <w:bCs/>
          <w:iCs/>
          <w:sz w:val="24"/>
          <w:szCs w:val="24"/>
          <w:lang w:val="ru-RU"/>
        </w:rPr>
      </w:pPr>
      <w:r>
        <w:rPr>
          <w:rFonts w:ascii="Times New Roman" w:hAnsi="Times New Roman"/>
          <w:bCs/>
          <w:iCs/>
          <w:sz w:val="24"/>
          <w:szCs w:val="24"/>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8"/>
          <w:szCs w:val="18"/>
          <w:lang w:val="ru-RU"/>
        </w:rPr>
      </w:pPr>
      <w:r>
        <w:rPr>
          <w:rFonts w:ascii="Times New Roman" w:hAnsi="Times New Roman"/>
          <w:bCs/>
          <w:iCs/>
          <w:sz w:val="18"/>
          <w:szCs w:val="18"/>
          <w:lang w:val="ru-RU"/>
        </w:rPr>
        <w:t>исп. вед.инженер ОМТС КВГЭС</w:t>
      </w:r>
    </w:p>
    <w:p>
      <w:pPr>
        <w:pStyle w:val="Normal"/>
        <w:rPr>
          <w:rFonts w:ascii="Times New Roman" w:hAnsi="Times New Roman"/>
          <w:bCs/>
          <w:iCs/>
          <w:sz w:val="18"/>
          <w:szCs w:val="18"/>
          <w:lang w:val="ru-RU"/>
        </w:rPr>
      </w:pPr>
      <w:r>
        <w:rPr>
          <w:rFonts w:ascii="Times New Roman" w:hAnsi="Times New Roman"/>
          <w:bCs/>
          <w:iCs/>
          <w:sz w:val="18"/>
          <w:szCs w:val="18"/>
          <w:lang w:val="ru-RU"/>
        </w:rPr>
        <w:t>Петрухина Г.А.</w:t>
      </w:r>
    </w:p>
    <w:p>
      <w:pPr>
        <w:pStyle w:val="Normal"/>
        <w:rPr>
          <w:rFonts w:ascii="Times New Roman" w:hAnsi="Times New Roman"/>
          <w:bCs/>
          <w:iCs/>
          <w:sz w:val="18"/>
          <w:szCs w:val="18"/>
          <w:lang w:val="ru-RU"/>
        </w:rPr>
      </w:pPr>
      <w:r>
        <w:rPr>
          <w:rFonts w:ascii="Times New Roman" w:hAnsi="Times New Roman"/>
          <w:bCs/>
          <w:iCs/>
          <w:sz w:val="18"/>
          <w:szCs w:val="18"/>
          <w:lang w:val="ru-RU"/>
        </w:rPr>
        <w:t>тел: 8 (41136) 72-2-35,78-378</w:t>
      </w:r>
    </w:p>
    <w:p>
      <w:pPr>
        <w:pStyle w:val="Normal"/>
        <w:rPr>
          <w:rFonts w:ascii="Times New Roman" w:hAnsi="Times New Roman"/>
          <w:b/>
          <w:bCs/>
          <w:i/>
          <w:i/>
          <w:iCs/>
          <w:sz w:val="18"/>
          <w:szCs w:val="18"/>
          <w:lang w:val="ru-RU"/>
        </w:rPr>
      </w:pPr>
      <w:r>
        <w:rPr>
          <w:rFonts w:ascii="Times New Roman" w:hAnsi="Times New Roman"/>
          <w:bCs/>
          <w:iCs/>
          <w:sz w:val="18"/>
          <w:szCs w:val="18"/>
          <w:lang w:val="ru-RU"/>
        </w:rPr>
        <w:t>е-mail petrukhinaga@rushydro.ru</w:t>
      </w:r>
    </w:p>
    <w:sectPr>
      <w:headerReference w:type="even" r:id="rId3"/>
      <w:headerReference w:type="default" r:id="rId4"/>
      <w:type w:val="nextPage"/>
      <w:pgSz w:w="11906" w:h="16838"/>
      <w:pgMar w:left="1134" w:right="851" w:gutter="0" w:header="964" w:top="1134" w:footer="0" w:bottom="1134"/>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num>
  <w:num w:numId="11">
    <w:abstractNumId w:val="3"/>
  </w:num>
  <w:num w:numId="12">
    <w:abstractNumId w:val="3"/>
  </w:num>
  <w:num w:numId="13">
    <w:abstractNumId w:val="3"/>
  </w:num>
  <w:num w:numId="14">
    <w:abstractNumId w:val="3"/>
  </w:num>
  <w:num w:numId="15">
    <w:abstractNumId w:val="3"/>
  </w:num>
  <w:num w:numId="16">
    <w:abstractNumId w:val="9"/>
    <w:lvlOverride w:ilvl="0">
      <w:startOverride w:val="1"/>
    </w:lvlOverride>
  </w:num>
</w:numbering>
</file>

<file path=word/settings.xml><?xml version="1.0" encoding="utf-8"?>
<w:settings xmlns:w="http://schemas.openxmlformats.org/wordprocessingml/2006/main">
  <w:zoom w:percent="15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imes New Roman"/>
      <w:color w:val="auto"/>
      <w:kern w:val="0"/>
      <w:sz w:val="20"/>
      <w:szCs w:val="20"/>
      <w:lang w:val="en-US" w:eastAsia="ru-RU" w:bidi="ar-SA"/>
    </w:rPr>
  </w:style>
  <w:style w:type="paragraph" w:styleId="Heading1">
    <w:name w:val="Heading 1"/>
    <w:basedOn w:val="Normal"/>
    <w:next w:val="Normal"/>
    <w:qFormat/>
    <w:pPr>
      <w:keepNext w:val="true"/>
      <w:numPr>
        <w:ilvl w:val="0"/>
        <w:numId w:val="2"/>
      </w:numPr>
      <w:outlineLvl w:val="0"/>
    </w:pPr>
    <w:rPr>
      <w:rFonts w:ascii="Times New Roman" w:hAnsi="Times New Roman" w:eastAsia="Times New Roman"/>
      <w:b/>
      <w:sz w:val="28"/>
      <w:lang w:eastAsia="zh-CN"/>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9"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WWCharLFO6LVL1" w:customStyle="1">
    <w:name w:val="WW_CharLFO6LVL1"/>
    <w:qFormat/>
    <w:rPr>
      <w:sz w:val="22"/>
      <w:szCs w:val="22"/>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12" w:customStyle="1">
    <w:name w:val="Колонтитул"/>
    <w:basedOn w:val="Normal"/>
    <w:qFormat/>
    <w:pPr/>
    <w:rPr/>
  </w:style>
  <w:style w:type="paragraph" w:styleId="Header">
    <w:name w:val="Header"/>
    <w:basedOn w:val="Normal"/>
    <w:link w:val="Style8"/>
    <w:rsid w:val="00d002ca"/>
    <w:pPr>
      <w:tabs>
        <w:tab w:val="clear" w:pos="708"/>
        <w:tab w:val="center" w:pos="4320" w:leader="none"/>
        <w:tab w:val="right" w:pos="8640" w:leader="none"/>
      </w:tabs>
    </w:pPr>
    <w:rPr/>
  </w:style>
  <w:style w:type="paragraph" w:styleId="BalloonText">
    <w:name w:val="Balloon Text"/>
    <w:basedOn w:val="Normal"/>
    <w:link w:val="Style9"/>
    <w:uiPriority w:val="99"/>
    <w:semiHidden/>
    <w:unhideWhenUsed/>
    <w:qFormat/>
    <w:rsid w:val="00d002ca"/>
    <w:pPr/>
    <w:rPr>
      <w:rFonts w:ascii="Lucida Grande" w:hAnsi="Lucida Grande"/>
      <w:sz w:val="18"/>
      <w:szCs w:val="18"/>
    </w:rPr>
  </w:style>
  <w:style w:type="paragraph" w:styleId="Style13" w:customStyle="1">
    <w:name w:val="Содержимое врезки"/>
    <w:basedOn w:val="Normal"/>
    <w:qFormat/>
    <w:pPr/>
    <w:rPr/>
  </w:style>
  <w:style w:type="paragraph" w:styleId="ListParagraph">
    <w:name w:val="List Paragraph"/>
    <w:basedOn w:val="Normal"/>
    <w:qFormat/>
    <w:pPr>
      <w:ind w:left="720" w:hanging="0"/>
    </w:pPr>
    <w:rPr/>
  </w:style>
  <w:style w:type="paragraph" w:styleId="BodyTextIndent">
    <w:name w:val="Body Text Indent"/>
    <w:basedOn w:val="Normal"/>
    <w:pPr>
      <w:ind w:firstLine="360"/>
      <w:jc w:val="both"/>
    </w:pPr>
    <w:rPr>
      <w:rFonts w:ascii="Times New Roman" w:hAnsi="Times New Roman" w:eastAsia="Times New Roman"/>
      <w:lang w:eastAsia="zh-CN"/>
    </w:rPr>
  </w:style>
  <w:style w:type="paragraph" w:styleId="Style14" w:customStyle="1">
    <w:name w:val="Таблица шапка"/>
    <w:basedOn w:val="Normal"/>
    <w:qFormat/>
    <w:pPr>
      <w:keepNext w:val="true"/>
      <w:spacing w:before="40" w:after="40"/>
      <w:ind w:left="57" w:right="57" w:hanging="0"/>
    </w:pPr>
    <w:rPr>
      <w:rFonts w:ascii="Times New Roman" w:hAnsi="Times New Roman" w:eastAsia="Times New Roman"/>
      <w:sz w:val="22"/>
      <w:lang w:eastAsia="zh-CN"/>
    </w:rPr>
  </w:style>
  <w:style w:type="paragraph" w:styleId="21" w:customStyle="1">
    <w:name w:val="Основной текст 21"/>
    <w:basedOn w:val="Normal"/>
    <w:qFormat/>
    <w:pPr>
      <w:shd w:val="clear" w:color="auto" w:fill="FFFFFF"/>
      <w:jc w:val="center"/>
    </w:pPr>
    <w:rPr>
      <w:rFonts w:ascii="Arial" w:hAnsi="Arial" w:eastAsia="Times New Roman" w:cs="Arial"/>
      <w:b/>
      <w:color w:val="000080"/>
      <w:lang w:eastAsia="zh-CN"/>
    </w:rPr>
  </w:style>
  <w:style w:type="paragraph" w:styleId="Standard" w:customStyle="1">
    <w:name w:val="Standard"/>
    <w:qFormat/>
    <w:rsid w:val="00121d65"/>
    <w:pPr>
      <w:widowControl/>
      <w:suppressAutoHyphens w:val="true"/>
      <w:bidi w:val="0"/>
      <w:spacing w:before="0" w:after="0"/>
      <w:jc w:val="left"/>
      <w:textAlignment w:val="baseline"/>
    </w:pPr>
    <w:rPr>
      <w:rFonts w:ascii="Geneva CY" w:hAnsi="Geneva CY" w:eastAsia="Geneva" w:cs="Geneva CY"/>
      <w:color w:val="auto"/>
      <w:kern w:val="0"/>
      <w:sz w:val="24"/>
      <w:szCs w:val="20"/>
      <w:lang w:val="ru-RU" w:eastAsia="en-US" w:bidi="ar-SA"/>
    </w:rPr>
  </w:style>
  <w:style w:type="numbering" w:styleId="NoList" w:default="1">
    <w:name w:val="No List"/>
    <w:uiPriority w:val="99"/>
    <w:semiHidden/>
    <w:unhideWhenUsed/>
    <w:qFormat/>
  </w:style>
  <w:style w:type="numbering" w:styleId="WW8Num4" w:customStyle="1">
    <w:name w:val="WW8Num4"/>
    <w:qFormat/>
  </w:style>
  <w:style w:type="numbering" w:styleId="WW8Num3" w:customStyle="1">
    <w:name w:val="WW8Num3"/>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AlterOffice/3.4.0.9$Linux_X86_64 LibreOffice_project/b8daf9e823b1a5463a2f48435ddc2e8696e7d4fc</Application>
  <AppVersion>15.0000</AppVersion>
  <Pages>3</Pages>
  <Words>895</Words>
  <Characters>5708</Characters>
  <CharactersWithSpaces>7481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2026-06-10T08:52:00Z</dcterms:created>
  <dc:creator>Andrey Zhurin</dc:creator>
  <dc:description/>
  <dc:language>ru-RU</dc:language>
  <cp:lastModifiedBy>petrukhinaga</cp:lastModifiedBy>
  <cp:lastPrinted>2026-06-11T05:19:00Z</cp:lastPrinted>
  <dcterms:modified xsi:type="dcterms:W3CDTF">2026-06-11T14:21:52Z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