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ind w:firstLine="708"/>
        <w:jc w:val="right"/>
        <w:rPr>
          <w:rFonts w:eastAsia="Calibri"/>
          <w:szCs w:val="26"/>
        </w:rPr>
      </w:pPr>
      <w:r>
        <w:rPr>
          <w:rFonts w:eastAsia="Calibri"/>
          <w:szCs w:val="26"/>
        </w:rPr>
        <w:t xml:space="preserve">                </w:t>
      </w:r>
      <w:r>
        <w:rPr>
          <w:rFonts w:eastAsia="Calibri"/>
          <w:sz w:val="32"/>
          <w:szCs w:val="26"/>
        </w:rPr>
        <w:t>«УТВЕРЖДАЮ»</w:t>
        <w:tab/>
      </w:r>
    </w:p>
    <w:p>
      <w:pPr>
        <w:pStyle w:val="Normal"/>
        <w:keepNext w:val="true"/>
        <w:keepLines/>
        <w:jc w:val="right"/>
        <w:rPr>
          <w:rFonts w:eastAsia="Calibri"/>
          <w:sz w:val="32"/>
          <w:szCs w:val="26"/>
        </w:rPr>
      </w:pPr>
      <w:r>
        <w:rPr>
          <w:rFonts w:eastAsia="Calibri"/>
          <w:sz w:val="32"/>
          <w:szCs w:val="26"/>
        </w:rPr>
        <w:t>Главный инженер</w:t>
      </w:r>
    </w:p>
    <w:p>
      <w:pPr>
        <w:pStyle w:val="Normal"/>
        <w:keepNext w:val="true"/>
        <w:keepLines/>
        <w:jc w:val="right"/>
        <w:rPr>
          <w:rFonts w:eastAsia="Calibri"/>
          <w:sz w:val="32"/>
          <w:szCs w:val="26"/>
        </w:rPr>
      </w:pPr>
      <w:r>
        <w:rPr>
          <w:rFonts w:eastAsia="Calibri"/>
          <w:sz w:val="32"/>
          <w:szCs w:val="26"/>
        </w:rPr>
        <w:t>Западных электрических сетей</w:t>
      </w:r>
    </w:p>
    <w:p>
      <w:pPr>
        <w:pStyle w:val="Normal"/>
        <w:keepNext w:val="true"/>
        <w:keepLines/>
        <w:jc w:val="right"/>
        <w:rPr>
          <w:rFonts w:eastAsia="Calibri"/>
          <w:sz w:val="32"/>
          <w:szCs w:val="26"/>
        </w:rPr>
      </w:pPr>
      <w:r>
        <w:rPr>
          <w:rFonts w:eastAsia="Calibri"/>
          <w:sz w:val="32"/>
          <w:szCs w:val="26"/>
        </w:rPr>
        <w:t>ПАО «Якутскэнерго»</w:t>
      </w:r>
    </w:p>
    <w:p>
      <w:pPr>
        <w:pStyle w:val="Normal"/>
        <w:keepNext w:val="true"/>
        <w:keepLines/>
        <w:jc w:val="right"/>
        <w:rPr>
          <w:rFonts w:eastAsia="Calibri"/>
          <w:sz w:val="32"/>
          <w:szCs w:val="26"/>
        </w:rPr>
      </w:pPr>
      <w:r>
        <w:rPr>
          <w:rFonts w:eastAsia="Calibri"/>
          <w:sz w:val="32"/>
          <w:szCs w:val="26"/>
        </w:rPr>
        <w:t>_______________Ж.Н. Доржиев</w:t>
      </w:r>
    </w:p>
    <w:p>
      <w:pPr>
        <w:pStyle w:val="Normal"/>
        <w:keepNext w:val="true"/>
        <w:keepLines/>
        <w:jc w:val="right"/>
        <w:rPr>
          <w:rFonts w:eastAsia="Calibri"/>
          <w:b/>
          <w:szCs w:val="26"/>
        </w:rPr>
      </w:pPr>
      <w:r>
        <w:rPr>
          <w:rFonts w:eastAsia="Calibri"/>
          <w:sz w:val="32"/>
          <w:szCs w:val="26"/>
        </w:rPr>
        <w:t>«_____» ____________20_____г.</w:t>
      </w:r>
    </w:p>
    <w:p>
      <w:pPr>
        <w:pStyle w:val="Normal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center"/>
        <w:rPr>
          <w:b/>
          <w:color w:val="000000" w:themeColor="text1"/>
          <w:szCs w:val="26"/>
        </w:rPr>
      </w:pPr>
      <w:r>
        <w:rPr>
          <w:b/>
          <w:color w:val="000000" w:themeColor="text1"/>
          <w:szCs w:val="26"/>
        </w:rPr>
        <w:t>Технические требования на оказание услуг</w:t>
      </w:r>
    </w:p>
    <w:p>
      <w:pPr>
        <w:pStyle w:val="Normal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ОКПД2 71.12.40.120 Поверка измерительных трансформаторов тока, трансформаторов напряжения Филиала ПАО "Якутскэнерго" Западные Электрические Сети </w:t>
      </w:r>
    </w:p>
    <w:p>
      <w:pPr>
        <w:pStyle w:val="Normal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</w:r>
    </w:p>
    <w:p>
      <w:pPr>
        <w:pStyle w:val="Normal"/>
        <w:jc w:val="center"/>
        <w:rPr>
          <w:color w:val="000000" w:themeColor="text1"/>
          <w:sz w:val="26"/>
          <w:szCs w:val="26"/>
          <w:highlight w:val="green"/>
        </w:rPr>
      </w:pPr>
      <w:r>
        <w:rPr>
          <w:b/>
          <w:color w:val="000000" w:themeColor="text1"/>
          <w:sz w:val="26"/>
          <w:szCs w:val="26"/>
        </w:rPr>
        <w:t xml:space="preserve">Лот № </w:t>
      </w:r>
    </w:p>
    <w:p>
      <w:pPr>
        <w:pStyle w:val="Normal"/>
        <w:jc w:val="center"/>
        <w:rPr>
          <w:color w:val="000000" w:themeColor="text1"/>
          <w:sz w:val="26"/>
          <w:szCs w:val="26"/>
          <w:highlight w:val="green"/>
        </w:rPr>
      </w:pPr>
      <w:r>
        <w:rPr>
          <w:color w:val="000000" w:themeColor="text1"/>
          <w:sz w:val="26"/>
          <w:szCs w:val="26"/>
          <w:highlight w:val="green"/>
        </w:rPr>
      </w:r>
    </w:p>
    <w:p>
      <w:pPr>
        <w:pStyle w:val="Normal"/>
        <w:jc w:val="center"/>
        <w:rPr>
          <w:color w:val="000000" w:themeColor="text1"/>
          <w:sz w:val="26"/>
          <w:szCs w:val="26"/>
          <w:highlight w:val="green"/>
        </w:rPr>
      </w:pPr>
      <w:r>
        <w:rPr>
          <w:color w:val="000000" w:themeColor="text1"/>
          <w:sz w:val="26"/>
          <w:szCs w:val="26"/>
          <w:highlight w:val="green"/>
        </w:rPr>
      </w:r>
    </w:p>
    <w:p>
      <w:pPr>
        <w:pStyle w:val="Normal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СОДЕРЖАНИЕ</w:t>
      </w:r>
    </w:p>
    <w:p>
      <w:pPr>
        <w:pStyle w:val="Normal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0"/>
              <w:szCs w:val="20"/>
            </w:rPr>
          </w:pPr>
          <w:r>
            <w:fldChar w:fldCharType="begin"/>
          </w:r>
          <w:r>
            <w:rPr>
              <w:webHidden/>
              <w:rStyle w:val="Style14"/>
              <w:sz w:val="20"/>
              <w:szCs w:val="20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sz w:val="20"/>
              <w:szCs w:val="20"/>
              <w:vanish w:val="false"/>
              <w:rFonts w:eastAsia="Calibri"/>
            </w:rPr>
            <w:fldChar w:fldCharType="separate"/>
          </w:r>
          <w:hyperlink w:anchor="_Toc224637845">
            <w:r>
              <w:rPr>
                <w:webHidden/>
                <w:rStyle w:val="Style14"/>
                <w:rFonts w:eastAsia="Calibri"/>
                <w:vanish w:val="false"/>
                <w:sz w:val="20"/>
                <w:szCs w:val="20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0"/>
                <w:szCs w:val="20"/>
              </w:rPr>
              <w:tab/>
            </w:r>
            <w:r>
              <w:rPr>
                <w:rStyle w:val="Style14"/>
                <w:rFonts w:eastAsia="Calibri"/>
                <w:sz w:val="20"/>
                <w:szCs w:val="20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_Toc224637845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0"/>
                <w:szCs w:val="2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224637846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_Toc224637846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224637847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_Toc224637847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224637848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rFonts w:eastAsia="Calibri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_Toc224637848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224637849">
            <w:r>
              <w:rPr>
                <w:webHidden/>
                <w:rStyle w:val="Style14"/>
                <w:rFonts w:eastAsia="Calibri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rFonts w:eastAsia="Calibri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_Toc224637849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0"/>
              <w:szCs w:val="20"/>
            </w:rPr>
          </w:pPr>
          <w:hyperlink w:anchor="_Toc224637850">
            <w:r>
              <w:rPr>
                <w:webHidden/>
                <w:rStyle w:val="Style14"/>
                <w:rFonts w:eastAsia="Calibri"/>
                <w:vanish w:val="false"/>
                <w:sz w:val="20"/>
                <w:szCs w:val="20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0"/>
                <w:szCs w:val="20"/>
              </w:rPr>
              <w:tab/>
            </w:r>
            <w:r>
              <w:rPr>
                <w:rStyle w:val="Style14"/>
                <w:rFonts w:eastAsia="Calibri"/>
                <w:iCs/>
                <w:sz w:val="20"/>
                <w:szCs w:val="20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_Toc224637850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0"/>
                <w:szCs w:val="2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224637851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_Toc224637851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224637852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rFonts w:eastAsia="Calibri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_Toc224637852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224637853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_Toc224637853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224637854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_Toc224637854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0"/>
              <w:szCs w:val="20"/>
            </w:rPr>
          </w:pPr>
          <w:hyperlink w:anchor="_Toc224637855">
            <w:r>
              <w:rPr>
                <w:webHidden/>
                <w:rStyle w:val="Style14"/>
                <w:rFonts w:eastAsia="Calibri"/>
                <w:vanish w:val="false"/>
                <w:sz w:val="20"/>
                <w:szCs w:val="20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0"/>
                <w:szCs w:val="20"/>
              </w:rPr>
              <w:tab/>
            </w:r>
            <w:r>
              <w:rPr>
                <w:rStyle w:val="Style14"/>
                <w:rFonts w:eastAsia="Calibri"/>
                <w:iCs/>
                <w:sz w:val="20"/>
                <w:szCs w:val="20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_Toc224637855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0"/>
                <w:szCs w:val="20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0"/>
              <w:szCs w:val="20"/>
            </w:rPr>
          </w:pPr>
          <w:hyperlink w:anchor="_Toc224637856">
            <w:r>
              <w:rPr>
                <w:webHidden/>
                <w:rStyle w:val="Style14"/>
                <w:rFonts w:eastAsia="Calibri"/>
                <w:vanish w:val="false"/>
                <w:sz w:val="20"/>
                <w:szCs w:val="20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0"/>
                <w:szCs w:val="20"/>
              </w:rPr>
              <w:tab/>
            </w:r>
            <w:r>
              <w:rPr>
                <w:rStyle w:val="Style14"/>
                <w:rFonts w:eastAsia="Calibri"/>
                <w:iCs/>
                <w:sz w:val="20"/>
                <w:szCs w:val="20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_Toc224637856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0"/>
                <w:szCs w:val="20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0"/>
              <w:szCs w:val="20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color w:val="000000" w:themeColor="text1"/>
          <w:sz w:val="20"/>
          <w:szCs w:val="20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color w:val="000000" w:themeColor="text1"/>
          <w:sz w:val="20"/>
          <w:szCs w:val="20"/>
        </w:rPr>
      </w:r>
    </w:p>
    <w:p>
      <w:pPr>
        <w:pStyle w:val="TOC1"/>
        <w:tabs>
          <w:tab w:val="clear" w:pos="567"/>
          <w:tab w:val="left" w:pos="709" w:leader="none"/>
          <w:tab w:val="left" w:pos="840" w:leader="none"/>
          <w:tab w:val="right" w:pos="9911" w:leader="dot"/>
        </w:tabs>
        <w:spacing w:lineRule="auto" w:line="276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keepNext w:val="true"/>
        <w:keepLines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color w:val="000000" w:themeColor="text1"/>
          <w:sz w:val="24"/>
          <w:szCs w:val="24"/>
          <w:lang w:val="ru-RU"/>
        </w:rPr>
      </w:pPr>
      <w:bookmarkStart w:id="0" w:name="_Toc224637845"/>
      <w:r>
        <w:rPr>
          <w:color w:val="000000" w:themeColor="text1"/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>
          <w:color w:val="000000" w:themeColor="text1"/>
        </w:rPr>
      </w:pPr>
      <w:bookmarkStart w:id="1" w:name="_Toc46743505"/>
      <w:bookmarkStart w:id="2" w:name="_Toc224637846"/>
      <w:r>
        <w:rPr>
          <w:color w:val="000000" w:themeColor="text1"/>
        </w:rPr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 w:val="false"/>
          <w:i w:val="false"/>
          <w:color w:val="000000" w:themeColor="text1"/>
          <w:sz w:val="24"/>
          <w:szCs w:val="24"/>
        </w:rPr>
      </w:pPr>
      <w:r>
        <w:rPr>
          <w:b w:val="false"/>
          <w:bCs/>
          <w:i w:val="false"/>
          <w:color w:val="000000" w:themeColor="text1"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trHeight w:val="20" w:hRule="atLeast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Открытое распределительное устройство</w:t>
            </w:r>
          </w:p>
        </w:tc>
      </w:tr>
      <w:tr>
        <w:trPr>
          <w:trHeight w:val="20" w:hRule="atLeast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Распределительное устройство</w:t>
            </w:r>
          </w:p>
        </w:tc>
      </w:tr>
      <w:tr>
        <w:trPr>
          <w:trHeight w:val="20" w:hRule="atLeast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Средство измерений</w:t>
            </w:r>
          </w:p>
        </w:tc>
      </w:tr>
      <w:tr>
        <w:trPr>
          <w:trHeight w:val="20" w:hRule="atLeast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Измерительный трансформатор напряжения</w:t>
            </w:r>
          </w:p>
        </w:tc>
      </w:tr>
      <w:tr>
        <w:trPr>
          <w:trHeight w:val="20" w:hRule="atLeast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Измерительный трансформатор тока</w:t>
            </w:r>
          </w:p>
        </w:tc>
      </w:tr>
    </w:tbl>
    <w:p>
      <w:pPr>
        <w:pStyle w:val="Normal"/>
        <w:rPr>
          <w:rStyle w:val="Style8"/>
          <w:b w:val="false"/>
          <w:bCs/>
          <w:i w:val="false"/>
          <w:i w:val="false"/>
          <w:color w:val="000000" w:themeColor="text1"/>
          <w:sz w:val="24"/>
          <w:szCs w:val="24"/>
        </w:rPr>
      </w:pPr>
      <w:r>
        <w:rPr>
          <w:b w:val="false"/>
          <w:bCs/>
          <w:i w:val="false"/>
          <w:color w:val="000000" w:themeColor="text1"/>
          <w:sz w:val="24"/>
          <w:szCs w:val="24"/>
        </w:rPr>
      </w:r>
    </w:p>
    <w:p>
      <w:pPr>
        <w:pStyle w:val="Normal"/>
        <w:rPr>
          <w:rStyle w:val="Style8"/>
          <w:b w:val="false"/>
          <w:bCs/>
          <w:i w:val="false"/>
          <w:i w:val="false"/>
          <w:color w:val="000000" w:themeColor="text1"/>
          <w:sz w:val="24"/>
          <w:szCs w:val="24"/>
        </w:rPr>
      </w:pPr>
      <w:r>
        <w:rPr>
          <w:b w:val="false"/>
          <w:bCs/>
          <w:i w:val="false"/>
          <w:color w:val="000000" w:themeColor="text1"/>
          <w:sz w:val="24"/>
          <w:szCs w:val="24"/>
        </w:rPr>
      </w:r>
    </w:p>
    <w:p>
      <w:pPr>
        <w:pStyle w:val="Normal"/>
        <w:keepNext w:val="true"/>
        <w:keepLines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276" w:leader="none"/>
        </w:tabs>
        <w:ind w:left="0" w:firstLine="709"/>
        <w:rPr>
          <w:color w:val="000000" w:themeColor="text1"/>
        </w:rPr>
      </w:pPr>
      <w:bookmarkStart w:id="3" w:name="_Toc46743506"/>
      <w:bookmarkStart w:id="4" w:name="_Toc224637847"/>
      <w:r>
        <w:rPr>
          <w:color w:val="000000" w:themeColor="text1"/>
        </w:rPr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ОКПД2 71.12.40.120 Поверка измерительных трансформаторов тока, трансформаторов напряжения Филиала ПАО «Якутскэнерго» Западные Электрические Сети.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val="x-none" w:eastAsia="x-none"/>
        </w:rPr>
      </w:pPr>
      <w:r>
        <w:rPr>
          <w:rFonts w:eastAsia="Calibri"/>
          <w:color w:val="000000" w:themeColor="text1"/>
          <w:sz w:val="24"/>
          <w:szCs w:val="24"/>
          <w:lang w:val="x-none" w:eastAsia="x-none"/>
        </w:rPr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276" w:leader="none"/>
        </w:tabs>
        <w:ind w:left="0" w:firstLine="709"/>
        <w:rPr>
          <w:color w:val="000000" w:themeColor="text1"/>
        </w:rPr>
      </w:pPr>
      <w:bookmarkStart w:id="5" w:name="_Toc224637848"/>
      <w:bookmarkStart w:id="6" w:name="_Toc46743507"/>
      <w:r>
        <w:rPr>
          <w:color w:val="000000" w:themeColor="text1"/>
        </w:rPr>
        <w:t xml:space="preserve">Цель </w:t>
      </w:r>
      <w:bookmarkEnd w:id="6"/>
      <w:r>
        <w:rPr>
          <w:color w:val="000000" w:themeColor="text1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Проведение периодической (или внеочередной) поверки измерительных трансформаторов тока (далее – ТТ) и измерительных трансформаторов напряжения (далее – ТН) для нужд Филиала ПАО «Якутскэнерго» Западные Электрические Сети.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>
          <w:rFonts w:eastAsia="Calibri"/>
          <w:b/>
          <w:color w:val="000000" w:themeColor="text1"/>
          <w:sz w:val="24"/>
          <w:szCs w:val="24"/>
          <w:lang w:eastAsia="x-none"/>
        </w:rPr>
      </w:pPr>
      <w:r>
        <w:rPr>
          <w:rFonts w:eastAsia="Calibri"/>
          <w:b/>
          <w:color w:val="000000" w:themeColor="text1"/>
          <w:sz w:val="24"/>
          <w:szCs w:val="24"/>
          <w:lang w:eastAsia="x-none"/>
        </w:rPr>
        <w:t>Таблица 1. Перечень объектов заказчика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3"/>
        <w:gridCol w:w="2694"/>
        <w:gridCol w:w="3261"/>
        <w:gridCol w:w="3399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b/>
                <w:color w:val="000000" w:themeColor="text1"/>
                <w:sz w:val="20"/>
                <w:szCs w:val="20"/>
              </w:rPr>
              <w:t>п.п.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b/>
                <w:i/>
                <w:iCs/>
                <w:color w:val="000000" w:themeColor="text1"/>
                <w:sz w:val="20"/>
                <w:szCs w:val="20"/>
              </w:rPr>
              <w:t>(место оказания услуг)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Наименование основного средства </w:t>
              <w:br/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t>(в отношении которого оказываются услуги</w:t>
            </w:r>
            <w:r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Поверка измерительных ТТ ( 110/ 10кВ)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 ПАО «Якутскэнерго» - Западные Электрические Сети, Российская Федерация, Республика Саха (Якутия), г. Мирный, Ленинградский проспект 5/2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Измерительные ТТ и ТН в соответствии с Приложением №1</w:t>
            </w:r>
          </w:p>
        </w:tc>
      </w:tr>
      <w:tr>
        <w:trPr>
          <w:trHeight w:val="46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Поверка измерительных ТН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(110/10кВ)</w:t>
            </w:r>
          </w:p>
        </w:tc>
        <w:tc>
          <w:tcPr>
            <w:tcW w:w="3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3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 xml:space="preserve">Работы по поверки измерительных ТТ и ТН должны проводиться по месту установки измерительного оборудования и предусматривают: 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-</w:t>
        <w:tab/>
        <w:t>производство работ в действующих электроустановках, на открытых распределительных устройствах ОРУ- 110  кВ и РУ-10 кВ с наличием в зоне производства работ действующего технологического оборудования, находящегося под напряжением;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-</w:t>
        <w:tab/>
        <w:t>производство работ осуществляется с подъемом на высоту, для подключения поверочного оборудования.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276" w:leader="none"/>
        </w:tabs>
        <w:ind w:left="0" w:firstLine="709"/>
        <w:rPr>
          <w:color w:val="000000" w:themeColor="text1"/>
          <w:lang w:val="ru-RU"/>
        </w:rPr>
      </w:pPr>
      <w:bookmarkStart w:id="7" w:name="_Toc224637849"/>
      <w:r>
        <w:rPr>
          <w:color w:val="000000" w:themeColor="text1"/>
        </w:rPr>
        <w:t xml:space="preserve">Информация в отношении исполнения договора, </w:t>
      </w:r>
      <w:bookmarkStart w:id="8" w:name="_Hlk46492347"/>
      <w:r>
        <w:rPr>
          <w:color w:val="000000" w:themeColor="text1"/>
        </w:rPr>
        <w:t xml:space="preserve">которая должна быть учтена при подготовке заявки </w:t>
      </w:r>
      <w:bookmarkEnd w:id="8"/>
      <w:r>
        <w:rPr>
          <w:color w:val="000000" w:themeColor="text1"/>
        </w:rPr>
        <w:t>(в том числе перечень ресурсов, услуг и документов, предоставляемых заказчиком на</w:t>
      </w:r>
      <w:r>
        <w:rPr>
          <w:color w:val="000000" w:themeColor="text1"/>
          <w:lang w:val="ru-RU"/>
        </w:rPr>
        <w:t xml:space="preserve"> </w:t>
      </w:r>
      <w:r>
        <w:rPr>
          <w:color w:val="000000" w:themeColor="text1"/>
        </w:rPr>
        <w:t>этапе исполнения договора)</w:t>
      </w:r>
      <w:r>
        <w:rPr>
          <w:color w:val="000000" w:themeColor="text1"/>
          <w:lang w:val="ru-RU"/>
        </w:rPr>
        <w:t>.</w:t>
      </w:r>
      <w:bookmarkEnd w:id="7"/>
    </w:p>
    <w:p>
      <w:pPr>
        <w:pStyle w:val="Normal"/>
        <w:widowControl w:val="false"/>
        <w:tabs>
          <w:tab w:val="clear" w:pos="708"/>
          <w:tab w:val="left" w:pos="1418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1.4.1.</w:t>
        <w:tab/>
        <w:t>На объекте действует пропускной режим: проход лиц, проезд транспортных средств на территорию Филиала и обратно, вноса (выноса), ввоза (вывоза) материальных ценностей осуществляется по письмам и пропускам установленного образца согласно положения по пропускному и внутри объектовому режимам Заказчика (Приложение №3).</w:t>
      </w:r>
    </w:p>
    <w:p>
      <w:pPr>
        <w:pStyle w:val="Normal"/>
        <w:widowControl w:val="false"/>
        <w:tabs>
          <w:tab w:val="clear" w:pos="708"/>
          <w:tab w:val="left" w:pos="1418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1.4.2.</w:t>
        <w:tab/>
        <w:t>Для выполнения метрологических работ Исполнитель должен иметь:</w:t>
      </w:r>
    </w:p>
    <w:p>
      <w:pPr>
        <w:pStyle w:val="Normal"/>
        <w:widowControl w:val="false"/>
        <w:tabs>
          <w:tab w:val="clear" w:pos="708"/>
          <w:tab w:val="left" w:pos="993" w:leader="none"/>
          <w:tab w:val="left" w:pos="1418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-</w:t>
        <w:tab/>
        <w:t>действующий аттестата аккредитации (область аккредитации) на право выполнения работ по поверке СИ включающей поверку ТТ, ТН (Приложение №1);</w:t>
      </w:r>
    </w:p>
    <w:p>
      <w:pPr>
        <w:pStyle w:val="Normal"/>
        <w:widowControl w:val="false"/>
        <w:tabs>
          <w:tab w:val="clear" w:pos="708"/>
          <w:tab w:val="left" w:pos="993" w:leader="none"/>
          <w:tab w:val="left" w:pos="1418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-</w:t>
        <w:tab/>
        <w:t>наличие договоров с организациями (Соисполнителями), имеющими действующий аттестата аккредитации (область аккредитации) на право выполнения работ по поверке СИ включающей поверку ТТ, ТН (Приложение №1);</w:t>
      </w:r>
    </w:p>
    <w:p>
      <w:pPr>
        <w:pStyle w:val="Normal"/>
        <w:widowControl w:val="false"/>
        <w:tabs>
          <w:tab w:val="clear" w:pos="708"/>
          <w:tab w:val="left" w:pos="993" w:leader="none"/>
          <w:tab w:val="left" w:pos="1418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-</w:t>
        <w:tab/>
        <w:t>наличие необходимого методического, инструментального, эталонного и вспомогательного оборудования;</w:t>
      </w:r>
    </w:p>
    <w:p>
      <w:pPr>
        <w:pStyle w:val="Normal"/>
        <w:widowControl w:val="false"/>
        <w:tabs>
          <w:tab w:val="clear" w:pos="708"/>
          <w:tab w:val="left" w:pos="993" w:leader="none"/>
          <w:tab w:val="left" w:pos="1418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-</w:t>
        <w:tab/>
        <w:t>наличие квалифицированного и аттестованного персонала на право выполнения поверки ТТ, ТН;</w:t>
      </w:r>
    </w:p>
    <w:p>
      <w:pPr>
        <w:pStyle w:val="Normal"/>
        <w:widowControl w:val="false"/>
        <w:tabs>
          <w:tab w:val="clear" w:pos="708"/>
          <w:tab w:val="left" w:pos="993" w:leader="none"/>
          <w:tab w:val="left" w:pos="1418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-</w:t>
        <w:tab/>
        <w:t>наличие собственного или привлеченного (по трудовым либо гражданско-правовым договорам) квалифицированного персонала, имеющий группы электробезопасности в соответствии с разделами XLVI, XLVII «Правил по охране труда при эксплуатации электроустановок»: руководитель работ – V, производитель работ – IV, члены бригады – не ниже III.</w:t>
      </w:r>
    </w:p>
    <w:p>
      <w:pPr>
        <w:pStyle w:val="Normal"/>
        <w:widowControl w:val="false"/>
        <w:tabs>
          <w:tab w:val="clear" w:pos="708"/>
          <w:tab w:val="left" w:pos="1418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1.4.3.</w:t>
        <w:tab/>
        <w:t>Исполнитель вправе привлекать соисполнителей только с письменного согласия Заказчика. Требования, предъявляемые к Соисполнителям, аналогичны требованиям к Исполнителю.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color w:val="000000" w:themeColor="text1"/>
          <w:sz w:val="24"/>
          <w:szCs w:val="24"/>
          <w:lang w:val="ru-RU"/>
        </w:rPr>
      </w:pPr>
      <w:bookmarkStart w:id="9" w:name="_Toc51339693"/>
      <w:bookmarkStart w:id="10" w:name="_Toc224637850"/>
      <w:r>
        <w:rPr>
          <w:iCs/>
          <w:color w:val="000000" w:themeColor="text1"/>
          <w:sz w:val="24"/>
          <w:szCs w:val="24"/>
          <w:lang w:val="ru-RU"/>
        </w:rPr>
        <w:t>Требования</w:t>
      </w:r>
      <w:r>
        <w:rPr>
          <w:iCs/>
          <w:color w:val="000000" w:themeColor="text1"/>
          <w:sz w:val="24"/>
          <w:szCs w:val="24"/>
        </w:rPr>
        <w:t xml:space="preserve"> к продукции</w:t>
      </w:r>
      <w:bookmarkEnd w:id="9"/>
      <w:bookmarkEnd w:id="10"/>
    </w:p>
    <w:p>
      <w:pPr>
        <w:pStyle w:val="Heading4"/>
        <w:numPr>
          <w:ilvl w:val="1"/>
          <w:numId w:val="3"/>
        </w:numPr>
        <w:ind w:left="0" w:hanging="6"/>
        <w:rPr>
          <w:color w:val="000000" w:themeColor="text1"/>
        </w:rPr>
      </w:pPr>
      <w:bookmarkStart w:id="11" w:name="_Toc224637851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оказания услуг</w:t>
      </w:r>
      <w:bookmarkEnd w:id="11"/>
    </w:p>
    <w:p>
      <w:pPr>
        <w:pStyle w:val="Heading3"/>
        <w:numPr>
          <w:ilvl w:val="2"/>
          <w:numId w:val="3"/>
        </w:numPr>
        <w:ind w:left="0" w:hanging="6"/>
        <w:rPr>
          <w:color w:val="000000" w:themeColor="text1"/>
        </w:rPr>
      </w:pPr>
      <w:bookmarkStart w:id="12" w:name="_Toc224637852"/>
      <w:r>
        <w:rPr>
          <w:color w:val="000000" w:themeColor="text1"/>
          <w:lang w:val="ru-RU"/>
        </w:rPr>
        <w:t>Требования к перечню и объему услуг</w:t>
      </w:r>
      <w:bookmarkEnd w:id="1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>
          <w:rFonts w:eastAsia="Calibri"/>
          <w:b/>
          <w:color w:val="000000" w:themeColor="text1"/>
          <w:sz w:val="24"/>
          <w:szCs w:val="24"/>
          <w:lang w:eastAsia="x-none"/>
        </w:rPr>
      </w:pPr>
      <w:bookmarkStart w:id="13" w:name="_Toc51339695"/>
      <w:r>
        <w:rPr>
          <w:rFonts w:eastAsia="Calibri"/>
          <w:b/>
          <w:color w:val="000000" w:themeColor="text1"/>
          <w:sz w:val="24"/>
          <w:szCs w:val="24"/>
          <w:lang w:eastAsia="x-none"/>
        </w:rPr>
        <w:t xml:space="preserve">Таблица 2. Перечень </w:t>
      </w:r>
      <w:bookmarkEnd w:id="13"/>
      <w:r>
        <w:rPr>
          <w:rFonts w:eastAsia="Calibri"/>
          <w:b/>
          <w:color w:val="000000" w:themeColor="text1"/>
          <w:sz w:val="24"/>
          <w:szCs w:val="24"/>
          <w:lang w:eastAsia="x-none"/>
        </w:rPr>
        <w:t>и объем оказываемых услуг</w:t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7"/>
        <w:gridCol w:w="4109"/>
        <w:gridCol w:w="2980"/>
        <w:gridCol w:w="2123"/>
      </w:tblGrid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п.п.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Поверка измерительных ТТ 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( 110/ 10/ кВ) 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Поверка измерительных ТТ иТН по месту установки (Приложение №1) с оформлением результатов поверки на каждый из ТТ и ТН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Поверка измерительных ТН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( 110/ 10 кВ)</w:t>
            </w:r>
          </w:p>
        </w:tc>
        <w:tc>
          <w:tcPr>
            <w:tcW w:w="51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>
          <w:bCs/>
          <w:color w:val="000000" w:themeColor="text1"/>
          <w:sz w:val="24"/>
          <w:szCs w:val="24"/>
          <w:shd w:fill="FFFF99" w:val="clear"/>
        </w:rPr>
      </w:pPr>
      <w:r>
        <w:rPr>
          <w:bCs/>
          <w:color w:val="000000" w:themeColor="text1"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color w:val="000000" w:themeColor="text1"/>
          <w:lang w:val="ru-RU"/>
        </w:rPr>
      </w:pPr>
      <w:bookmarkStart w:id="14" w:name="_Toc224637853"/>
      <w:bookmarkStart w:id="15" w:name="_Toc51339696"/>
      <w:r>
        <w:rPr>
          <w:color w:val="000000" w:themeColor="text1"/>
          <w:lang w:val="ru-RU"/>
        </w:rPr>
        <w:t xml:space="preserve">Требования </w:t>
      </w:r>
      <w:bookmarkEnd w:id="15"/>
      <w:r>
        <w:rPr>
          <w:color w:val="000000" w:themeColor="text1"/>
          <w:lang w:val="ru-RU"/>
        </w:rPr>
        <w:t>к срокам оказания услуг</w:t>
      </w:r>
      <w:bookmarkEnd w:id="1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>
          <w:rFonts w:eastAsia="Calibri"/>
          <w:b/>
          <w:color w:val="000000" w:themeColor="text1"/>
          <w:sz w:val="24"/>
          <w:szCs w:val="24"/>
          <w:lang w:eastAsia="x-none"/>
        </w:rPr>
      </w:pPr>
      <w:bookmarkStart w:id="16" w:name="_Toc51339697"/>
      <w:bookmarkStart w:id="17" w:name="_Toc50125127"/>
      <w:bookmarkStart w:id="18" w:name="_Toc50125126"/>
      <w:bookmarkEnd w:id="18"/>
      <w:r>
        <w:rPr>
          <w:rFonts w:eastAsia="Calibri"/>
          <w:b/>
          <w:color w:val="000000" w:themeColor="text1"/>
          <w:sz w:val="24"/>
          <w:szCs w:val="24"/>
          <w:lang w:eastAsia="x-none"/>
        </w:rPr>
        <w:t xml:space="preserve">Таблица 3. </w:t>
      </w:r>
      <w:bookmarkStart w:id="19" w:name="_Hlk50465284"/>
      <w:r>
        <w:rPr>
          <w:rFonts w:eastAsia="Calibri"/>
          <w:b/>
          <w:color w:val="000000" w:themeColor="text1"/>
          <w:sz w:val="24"/>
          <w:szCs w:val="24"/>
          <w:lang w:eastAsia="x-none"/>
        </w:rPr>
        <w:t xml:space="preserve">Требования к срокам </w:t>
      </w:r>
      <w:bookmarkEnd w:id="16"/>
      <w:bookmarkEnd w:id="17"/>
      <w:bookmarkEnd w:id="19"/>
      <w:r>
        <w:rPr>
          <w:rFonts w:eastAsia="Calibri"/>
          <w:b/>
          <w:color w:val="000000" w:themeColor="text1"/>
          <w:sz w:val="24"/>
          <w:szCs w:val="24"/>
          <w:lang w:eastAsia="x-none"/>
        </w:rPr>
        <w:t>оказания услуг</w:t>
      </w:r>
    </w:p>
    <w:tbl>
      <w:tblPr>
        <w:tblW w:w="9781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"/>
        <w:gridCol w:w="4116"/>
        <w:gridCol w:w="2691"/>
        <w:gridCol w:w="2410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b/>
                <w:color w:val="000000" w:themeColor="text1"/>
                <w:sz w:val="20"/>
                <w:szCs w:val="20"/>
              </w:rPr>
              <w:t>п.п.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>
        <w:trPr>
          <w:trHeight w:val="328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Поверка измерительных ТТ 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( 110/ 10/ кВ)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Начало: с даты заключения договора.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30.09.2026 г.</w:t>
            </w:r>
          </w:p>
        </w:tc>
      </w:tr>
      <w:tr>
        <w:trPr>
          <w:trHeight w:val="328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Поверка измерительных ТН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( 110/ 10 кВ)</w:t>
            </w:r>
          </w:p>
        </w:tc>
        <w:tc>
          <w:tcPr>
            <w:tcW w:w="2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bookmarkStart w:id="20" w:name="_Toc46743510"/>
            <w:bookmarkStart w:id="21" w:name="_Toc46743510"/>
            <w:bookmarkEnd w:id="21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color w:val="000000" w:themeColor="text1"/>
        </w:rPr>
      </w:pPr>
      <w:bookmarkStart w:id="22" w:name="_Toc224637854"/>
      <w:bookmarkStart w:id="23" w:name="_Toc46743511"/>
      <w:r>
        <w:rPr>
          <w:color w:val="000000" w:themeColor="text1"/>
        </w:rPr>
        <w:t xml:space="preserve">Требования к </w:t>
      </w:r>
      <w:bookmarkEnd w:id="23"/>
      <w:r>
        <w:rPr>
          <w:color w:val="000000" w:themeColor="text1"/>
          <w:lang w:val="ru-RU"/>
        </w:rPr>
        <w:t>качеству услуг</w:t>
      </w:r>
      <w:bookmarkEnd w:id="2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>
          <w:rFonts w:eastAsia="Calibri"/>
          <w:b/>
          <w:color w:val="000000" w:themeColor="text1"/>
          <w:sz w:val="24"/>
          <w:szCs w:val="24"/>
          <w:lang w:eastAsia="x-none"/>
        </w:rPr>
      </w:pPr>
      <w:bookmarkStart w:id="24" w:name="_Toc51339698"/>
      <w:r>
        <w:rPr>
          <w:rFonts w:eastAsia="Calibri"/>
          <w:b/>
          <w:color w:val="000000" w:themeColor="text1"/>
          <w:sz w:val="24"/>
          <w:szCs w:val="24"/>
          <w:lang w:eastAsia="x-none"/>
        </w:rPr>
        <w:t xml:space="preserve">Таблица 4. Требования к </w:t>
      </w:r>
      <w:bookmarkEnd w:id="24"/>
      <w:r>
        <w:rPr>
          <w:rFonts w:eastAsia="Calibri"/>
          <w:b/>
          <w:color w:val="000000" w:themeColor="text1"/>
          <w:sz w:val="24"/>
          <w:szCs w:val="24"/>
          <w:lang w:eastAsia="x-none"/>
        </w:rPr>
        <w:t xml:space="preserve">качеству услуг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>
          <w:rFonts w:eastAsia="Calibri"/>
          <w:color w:val="000000" w:themeColor="text1"/>
          <w:lang w:eastAsia="x-none"/>
        </w:rPr>
      </w:pPr>
      <w:r>
        <w:rPr>
          <w:rFonts w:eastAsia="Calibri"/>
          <w:b/>
          <w:color w:val="000000" w:themeColor="text1"/>
          <w:sz w:val="24"/>
          <w:szCs w:val="24"/>
          <w:lang w:eastAsia="x-none"/>
        </w:rPr>
        <w:t>Наименование услуг/этапа услуг (позиция №1-2</w:t>
      </w:r>
      <w:r>
        <w:rPr>
          <w:rFonts w:eastAsia="Calibri"/>
          <w:i/>
          <w:color w:val="000000" w:themeColor="text1"/>
          <w:lang w:eastAsia="x-none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  <w:lang w:eastAsia="x-none"/>
        </w:rPr>
        <w:t>Таблицы 2):</w:t>
      </w:r>
      <w:r>
        <w:rPr>
          <w:rFonts w:eastAsia="Calibri"/>
          <w:i/>
          <w:color w:val="000000" w:themeColor="text1"/>
          <w:lang w:eastAsia="x-none"/>
        </w:rPr>
        <w:t xml:space="preserve"> </w:t>
      </w:r>
    </w:p>
    <w:tbl>
      <w:tblPr>
        <w:tblStyle w:val="affff5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"/>
        <w:gridCol w:w="2410"/>
        <w:gridCol w:w="5954"/>
        <w:gridCol w:w="1942"/>
        <w:gridCol w:w="1888"/>
        <w:gridCol w:w="1982"/>
      </w:tblGrid>
      <w:tr>
        <w:trPr>
          <w:cantSplit w:val="true"/>
        </w:trPr>
        <w:tc>
          <w:tcPr>
            <w:tcW w:w="70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41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95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383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8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cantSplit w:val="true"/>
        </w:trPr>
        <w:tc>
          <w:tcPr>
            <w:tcW w:w="70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95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25" w:name="_Toc53499667"/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25"/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3" w:hanging="284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17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417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Общие требования к организации работ</w:t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Работы должны быть выполнены в соответствии с следующими национальными, отраслевыми и корпоративными нормативно-техническими документами (в действующих редакциях):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Федеральный закон № 102-ФЗ "Об обеспечении единства измерений";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Правила по охране труда при эксплуатации электроустановок;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Правила противопожарного режима в Российской Федерации;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ПТЭ электрических станций и сетей Российской Федерации;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Правила устройства электроустановок ПУЭ (издание седьмое);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Порядок проведения поверки средств измерений, требования к знаку поверки и содержанию свидетельства о поверке;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ГОСТ 1983-2001 Трансформаторы напряжения. Общие технические условия;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ГОСТ 8.216-2011 Трансформаторы напряжения. Методика поверки;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МИ 2999-2022. «ГСИ. Системы автоматизированные информационно-измерительные коммерческого учета электрической энергии. Рекомендации по составлению описания типа»;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МИ 3650-2022 «ГСИ. Рекомендация по подготовке, оформлению и рассмотрению материалов испытаний средств измерений в целях утверждения типа»;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Приказ Минпромторга России от 25.06.2013г.№ 970;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Регламент процесса «Допуск персонала подрядных организаций на объекты ПАО «Якутскэнерго» (Приложение №3).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Объем подготовительных работ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Разработать и согласовать со всеми заинтересованными службами Филиала ПАО «Якутскэнерго» Западные Электрические Сети, проект производства работ (ППР)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Подготовка рабочих мест и допуск на рабочие места выполняет персонал Заказчика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В соответствии с правилами (в действующих редакциях на период действия договора):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«Правила по охране труда при эксплуатации электроустановок» утв. Приказом Минтруда России от 15.12.2020 N 903н (ред. от 29.04.2022);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«Правил по охране труда при работе на высоте» утв. Приказом Минтруда России от 16.11.2020 N 782н;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Регламент процесса «Допуск персонала подрядных организаций на объекты ПАО «Якутскэнерго» (Приложение №3).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17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Требования к объёмам работ по метрологическому обеспечению</w:t>
            </w:r>
          </w:p>
        </w:tc>
      </w:tr>
      <w:tr>
        <w:trPr>
          <w:trHeight w:val="307" w:hRule="atLeast"/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Поверка измерительных ТТ ( 110/ 10 кВ) </w:t>
            </w:r>
          </w:p>
        </w:tc>
        <w:tc>
          <w:tcPr>
            <w:tcW w:w="595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Поверка измерительных ТТ и ТН по месту установки (Приложение №1) с оформлением результатов поверки на каждый из ТТ и ТН.</w:t>
            </w:r>
          </w:p>
        </w:tc>
        <w:tc>
          <w:tcPr>
            <w:tcW w:w="194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Поверка измерительных ТН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( 110/ 10  кВ)</w:t>
            </w:r>
          </w:p>
        </w:tc>
        <w:tc>
          <w:tcPr>
            <w:tcW w:w="595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4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8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8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17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Общие требования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При оказании услуг на территории и объектах Филиала ПАО «Якутскэнерго» Западные Электрические Сети необходимо соблюдать: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Правила внутреннего трудового распорядка и требования пропускного и внутриобъектового режимов предприятия Заказчика;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Требования нормативных документов по охране труда, промышленной и пожарной безопасности;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Требования первичного, вводного и целевых инструктажей.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Условия проведения работ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Работы по метрологическому обслуживанию проводятся по месту установки измерительного оборудования и предусматривают: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производство работ в действующих электроустановках, на открытых распределительных устройствах ОРУ- 110кВ и РУ-10 кВ, с наличием в зоне производства работ действующего технологического оборудования, находящегося под напряжением;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производство работ осуществляется с подъемом на высоту, для подключения поверочного оборудования.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Безопасность проведения работ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Исполнитель должен обеспечить безопасность собственного персонала, жизни, здоровья потребителей услуг и сохранность их имущества, а также соблюдать санитарно-эпидемиологические нормы.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Специальное технологическое оборудование и инвентарь, применяемые при оказании услуг, должны использовать в соответствии с требованиями технологии производства работ и руководства по эксплуатации.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17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Требования к эталонному и вспомогательному оборудованию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Наличие материально-технического оснащения для выполнения работ по поверке ТТ, ТН (по месту установки/эксплуатации: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эталонные средств измерений;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вспомогательное оборудование;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инструменты и приспособления.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средства индивидуальной защиты, для работ в действующих электроустановках и на высоте.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17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Квалификация персонала Исполнителя, привлекаемого к оказанию услуг в части охраны труда при эксплуатации электроустановок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Наличие собственного или привлеченного (по трудовым либо гражданско-правовым договорам) квалифицированного персонала, имеющий группы электробезопасности в соответствии с разделами XLVI, XLVII «Правил по охране труда при эксплуатации электроустановок»: руководитель работ – V, производитель работ – IV, члены бригады – не ниже III.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Квалификация персонала Исполнителя, привлекаемого к оказанию услуг в части проведения метрологических работ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Наличие у Исполнителя (или Соисполнителя) квалифицированного и аттестованного персонала на право выполнения поверки ТТ, ТН.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17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17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Требования к результату оказания услуг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По результатам оказания услуг должны быть выполнено метрологическое обслуживание всех единиц СИ, указанных в Приложении №1.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17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color w:val="000000" w:themeColor="text1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Требования к приемке результата оказания услуг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Услуги, выполняемые в рамках настоящих технических требований, считаются выполненными после подписания Акт приемки-сдачи оказанных услуг.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17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По результатам оказания услуг предоставляется: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На каждое СИ (Приложении №1): «Свидетельство о поверке» с оттиском поверочного клейма либо «Извещение о непригодности», подписанный Исполнителем перечень регистрационных номеров свидетельств/извещений результатов поверки, внесенных в Федеральный информационный фонд по обеспечению единства измерений (Госреестр СИ);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Акт приема-сдачи оказанных услуг в 2 (двух) экземплярах на бумажном носителе, или в электронном виде в случаи использования;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Счет-фактура.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Требования к виду представления отчетной документации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Документы, указанные в п.2.3.1, представить на бумажном носителе 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17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Общие требования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В случае повреждения имущества Заказчика в ходе оказания услуг, Исполнитель устраняет возникшие повреждения за свой счет в согласованные с Заказчиком сроки, но не позднее 15-ти календарных дней с даты подписания Сторонами Акта дефектации, подготовленного в произвольной форме;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Исполнитель компенсирует все потери от простоя имущества (оборудования) в ремонте по этим причинам.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17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Наличие разрешающих документов Исполнителя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Наличие действующего Аттестата аккредитации на предусмотренные данными техническими требованиями виды работ (Приложении №1), в соответствии с требованиями Федерального закона от 28.12.2013 № 412-ФЗ «Об аккредитации в национальной системе аккредитации», Приказа Минэкономразвития России от 26.10.2020 № 707 «Об утверждении критериев аккредитации и перечня документов, подтверждающих соответствие заявителя, аккредитованного лица критериям аккредитации»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Наличие разрешающих документов Соисполнителя</w:t>
            </w:r>
            <w:r>
              <w:rPr>
                <w:rStyle w:val="FootnoteReference"/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footnoteReference w:id="2"/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Наличие действующего Аттестата аккредитации на предусмотренные данными техническими требованиями виды работ (Приложение №1), в соответствии с требованиями Федерального закона от 28.12.2013 № 412-ФЗ «Об аккредитации в национальной системе аккредитации», Приказа Минэкономразвития России от 26.10.2020 № 707 «Об утверждении критериев аккредитации и перечня документов, подтверждающих соответствие заявителя, аккредитованного лица критериям аккредитации»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Распределение объемов выполнения работ между Исполнителем и Соисполнителем</w:t>
            </w:r>
            <w:r>
              <w:rPr>
                <w:rStyle w:val="Style"/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5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Предоставление справки о распределении объемов выполнения работ между Исполнителем и Соисполнителем</w:t>
            </w:r>
          </w:p>
        </w:tc>
        <w:tc>
          <w:tcPr>
            <w:tcW w:w="1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8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</w:t>
            </w:r>
          </w:p>
        </w:tc>
        <w:tc>
          <w:tcPr>
            <w:tcW w:w="1982" w:type="dxa"/>
            <w:tcBorders/>
            <w:shd w:color="auto" w:fill="auto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footnotePr>
            <w:numFmt w:val="decimal"/>
          </w:footnotePr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olor w:val="000000" w:themeColor="text1"/>
          <w:sz w:val="24"/>
          <w:szCs w:val="24"/>
          <w:lang w:val="ru-RU"/>
        </w:rPr>
      </w:pPr>
      <w:bookmarkStart w:id="26" w:name="_Toc224637855"/>
      <w:r>
        <w:rPr>
          <w:iCs/>
          <w:color w:val="000000" w:themeColor="text1"/>
          <w:sz w:val="24"/>
          <w:szCs w:val="24"/>
          <w:lang w:val="ru-RU"/>
        </w:rPr>
        <w:t>Требования к документации по ценообразованию на этапе закупки</w:t>
      </w:r>
      <w:bookmarkEnd w:id="2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 xml:space="preserve">При составлении сметной документации на метрологическое услуги, применять в обязательном </w:t>
      </w:r>
      <w:r>
        <w:rPr>
          <w:color w:val="000000" w:themeColor="text1"/>
          <w:sz w:val="24"/>
          <w:szCs w:val="24"/>
          <w:lang w:eastAsia="x-none"/>
        </w:rPr>
        <w:t>порядке «Требования к оформлению и составлению сметных расчетов на оказание услуг</w:t>
      </w:r>
      <w:r>
        <w:rPr>
          <w:color w:val="000000" w:themeColor="text1"/>
        </w:rPr>
        <w:t>»</w:t>
      </w:r>
      <w:r>
        <w:rPr>
          <w:color w:val="000000" w:themeColor="text1"/>
          <w:sz w:val="24"/>
          <w:szCs w:val="24"/>
          <w:lang w:eastAsia="x-none"/>
        </w:rPr>
        <w:t xml:space="preserve"> в соответствии с Приложением №2 к настоящим Техническим требованиям.</w:t>
      </w:r>
    </w:p>
    <w:p>
      <w:pPr>
        <w:pStyle w:val="Normal"/>
        <w:rPr>
          <w:color w:val="000000" w:themeColor="text1"/>
          <w:sz w:val="24"/>
          <w:szCs w:val="24"/>
          <w:lang w:eastAsia="x-none"/>
        </w:rPr>
      </w:pPr>
      <w:r>
        <w:rPr>
          <w:color w:val="000000" w:themeColor="text1"/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color w:val="000000" w:themeColor="text1"/>
          <w:sz w:val="24"/>
          <w:szCs w:val="24"/>
        </w:rPr>
      </w:pPr>
      <w:bookmarkStart w:id="27" w:name="_Toc224637856"/>
      <w:r>
        <w:rPr>
          <w:iCs/>
          <w:color w:val="000000" w:themeColor="text1"/>
          <w:sz w:val="24"/>
          <w:szCs w:val="24"/>
          <w:lang w:val="ru-RU"/>
        </w:rPr>
        <w:t>Приложения</w:t>
      </w:r>
      <w:bookmarkEnd w:id="27"/>
    </w:p>
    <w:p>
      <w:pPr>
        <w:pStyle w:val="Normal"/>
        <w:widowControl w:val="false"/>
        <w:tabs>
          <w:tab w:val="clear" w:pos="708"/>
          <w:tab w:val="left" w:pos="426" w:leader="none"/>
          <w:tab w:val="left" w:pos="2552" w:leader="none"/>
        </w:tabs>
        <w:spacing w:before="120" w:after="120"/>
        <w:ind w:left="2552" w:hanging="1843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Приложение №1.</w:t>
        <w:tab/>
        <w:t>Перечень поверки средств измерений (Трансформаторы тока, трансформаторы напряжения);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2552" w:leader="none"/>
        </w:tabs>
        <w:spacing w:before="120" w:after="120"/>
        <w:ind w:left="2552" w:hanging="1843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Приложение №2.</w:t>
        <w:tab/>
        <w:t>Требования к оформлению и составлению сметных расчетов на оказание услуг;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2552" w:leader="none"/>
        </w:tabs>
        <w:spacing w:before="120" w:after="120"/>
        <w:ind w:left="2552" w:hanging="1843"/>
        <w:jc w:val="both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>Приложение №3.</w:t>
        <w:tab/>
        <w:t>Регламент процесса «Допуск подрядных организаций к выполнению работ на объектах ПАО «Якутскэнерго».</w:t>
      </w:r>
    </w:p>
    <w:p>
      <w:pPr>
        <w:pStyle w:val="Normal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</w:r>
    </w:p>
    <w:p>
      <w:pPr>
        <w:pStyle w:val="Normal"/>
        <w:spacing w:before="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Составил:</w:t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___Начальник С РЗАИ ЗЭС____</w:t>
      </w:r>
    </w:p>
    <w:p>
      <w:pPr>
        <w:pStyle w:val="Normal"/>
        <w:ind w:left="708"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>должность</w:t>
      </w:r>
      <w:bookmarkStart w:id="28" w:name="_GoBack"/>
      <w:bookmarkEnd w:id="28"/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_______________/Ю.А. Голубев/____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>подпись</w:t>
        <w:tab/>
        <w:tab/>
        <w:t>ФИО</w:t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ab/>
      </w:r>
    </w:p>
    <w:p>
      <w:pPr>
        <w:pStyle w:val="Normal"/>
        <w:keepNext w:val="true"/>
        <w:keepLines/>
        <w:spacing w:before="0" w:after="120"/>
        <w:rPr>
          <w:rFonts w:eastAsia="Calibri"/>
          <w:color w:val="000000" w:themeColor="text1"/>
          <w:sz w:val="24"/>
          <w:szCs w:val="24"/>
          <w:lang w:eastAsia="x-none"/>
        </w:rPr>
      </w:pPr>
      <w:r>
        <w:rPr>
          <w:rFonts w:eastAsia="Calibri"/>
          <w:sz w:val="24"/>
          <w:szCs w:val="24"/>
        </w:rPr>
        <w:t>«______»______________20_____г.</w:t>
      </w:r>
    </w:p>
    <w:sectPr>
      <w:headerReference w:type="default" r:id="rId7"/>
      <w:headerReference w:type="first" r:id="rId8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Исполнение требований является обязательным в случаи привлечения Соисполнителя, для выполнения работ. В случаи если Соисполнитель не привлекается к выполнению услуг, в графе №6 соответствующего пункта таблицы указывается «Соисполнитель не требуется».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f198e"/>
    <w:pPr>
      <w:tabs>
        <w:tab w:val="clear" w:pos="708"/>
        <w:tab w:val="left" w:pos="567" w:leader="none"/>
        <w:tab w:val="left" w:pos="84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3e3c"/>
    <w:pPr>
      <w:tabs>
        <w:tab w:val="clear" w:pos="708"/>
        <w:tab w:val="left" w:pos="709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c6134"/>
    <w:pPr>
      <w:tabs>
        <w:tab w:val="clear" w:pos="708"/>
        <w:tab w:val="left" w:pos="567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8a15a3"/>
    <w:pPr>
      <w:spacing w:beforeAutospacing="1" w:afterAutospacing="1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3CD49-4F17-436E-9E17-F2B97C04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Application>AlterOffice/3.4.0.9$Linux_X86_64 LibreOffice_project/b8daf9e823b1a5463a2f48435ddc2e8696e7d4fc</Application>
  <AppVersion>15.0000</AppVersion>
  <Pages>11</Pages>
  <Words>1852</Words>
  <Characters>12992</Characters>
  <CharactersWithSpaces>14612</CharactersWithSpaces>
  <Paragraphs>282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2023-12-19T12:21:00Z</dcterms:created>
  <dc:creator>Быстров Олег Геннадьевич</dc:creator>
  <dc:description/>
  <dc:language>ru-RU</dc:language>
  <cp:lastModifiedBy>golubevyua</cp:lastModifiedBy>
  <cp:lastPrinted>2006-07-26T14:04:00Z</cp:lastPrinted>
  <dcterms:modified xsi:type="dcterms:W3CDTF">2026-06-11T14:41:21Z</dcterms:modified>
  <cp:revision>73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