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32"/>
          <w:szCs w:val="32"/>
        </w:rPr>
        <w:t>Технические требования</w:t>
      </w:r>
    </w:p>
    <w:p>
      <w:pPr>
        <w:pStyle w:val="BodyTextIndent3"/>
        <w:spacing w:before="0" w:after="0"/>
        <w:ind w:left="284" w:hanging="0"/>
        <w:jc w:val="center"/>
        <w:rPr/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ОКПД2 26.30.50.129 Поставка оборудования системы автоматической пожарной сигнализации и системы оповещения и управления эвакуацией Чебоксарской ГЭС (очередь 1)</w:t>
      </w:r>
    </w:p>
    <w:p>
      <w:pPr>
        <w:pStyle w:val="BodyTextIndent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6"/>
          <w:szCs w:val="26"/>
        </w:rPr>
        <w:t>СОДЕРЖАНИЕ</w:t>
      </w:r>
    </w:p>
    <w:p>
      <w:pPr>
        <w:pStyle w:val="TOCHeading"/>
        <w:ind w:left="14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400" w:leader="dot"/>
              <w:tab w:val="right" w:pos="9628" w:leader="dot"/>
            </w:tabs>
            <w:rPr/>
          </w:pPr>
          <w:r>
            <w:fldChar w:fldCharType="begin"/>
          </w:r>
          <w:r>
            <w:rPr>
              <w:rStyle w:val="Style"/>
              <w:sz w:val="24"/>
              <w:szCs w:val="24"/>
              <w:rFonts w:ascii="Times New Roman" w:hAnsi="Times New Roman"/>
            </w:rPr>
            <w:instrText xml:space="preserve"> TOC \o "1-3" \h</w:instrText>
          </w:r>
          <w:r>
            <w:rPr>
              <w:rStyle w:val="Style"/>
              <w:sz w:val="24"/>
              <w:szCs w:val="24"/>
              <w:rFonts w:ascii="Times New Roman" w:hAnsi="Times New Roman"/>
            </w:rPr>
            <w:fldChar w:fldCharType="separate"/>
          </w:r>
          <w:hyperlink w:anchor="_Toc200441820" w:tgtFrame="_top">
            <w:r>
              <w:rPr>
                <w:rStyle w:val="Style"/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sz w:val="24"/>
                <w:szCs w:val="24"/>
                <w:lang w:val="en-US"/>
              </w:rPr>
              <w:t xml:space="preserve">Общие </w:t>
            </w:r>
            <w:r>
              <w:rPr>
                <w:rStyle w:val="Style"/>
                <w:rFonts w:ascii="Times New Roman" w:hAnsi="Times New Roman"/>
                <w:iCs/>
                <w:sz w:val="24"/>
                <w:szCs w:val="24"/>
              </w:rPr>
              <w:t>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880" w:leader="dot"/>
              <w:tab w:val="right" w:pos="9628" w:leader="dot"/>
            </w:tabs>
            <w:rPr/>
          </w:pPr>
          <w:hyperlink w:anchor="_Toc200441821" w:tgtFrame="_top">
            <w:r>
              <w:rPr>
                <w:rStyle w:val="Style"/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Обозначения</w:t>
            </w:r>
            <w:r>
              <w:rPr>
                <w:rStyle w:val="Style"/>
                <w:rFonts w:ascii="Times New Roman" w:hAnsi="Times New Roman"/>
                <w:sz w:val="24"/>
                <w:szCs w:val="24"/>
                <w:lang w:val="en-US"/>
              </w:rPr>
              <w:t xml:space="preserve">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880" w:leader="dot"/>
              <w:tab w:val="right" w:pos="9628" w:leader="dot"/>
            </w:tabs>
            <w:rPr/>
          </w:pPr>
          <w:hyperlink w:anchor="_Toc200441822" w:tgtFrame="_top"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1.2.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880" w:leader="dot"/>
              <w:tab w:val="right" w:pos="9628" w:leader="dot"/>
            </w:tabs>
            <w:rPr/>
          </w:pPr>
          <w:hyperlink w:anchor="_Toc200441823" w:tgtFrame="_top"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1.3.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Цели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880" w:leader="dot"/>
              <w:tab w:val="right" w:pos="9628" w:leader="dot"/>
            </w:tabs>
            <w:rPr/>
          </w:pPr>
          <w:hyperlink w:anchor="_Toc200441824" w:tgtFrame="_top"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1.4.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bCs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покупателем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400" w:leader="dot"/>
              <w:tab w:val="right" w:pos="9628" w:leader="dot"/>
            </w:tabs>
            <w:rPr/>
          </w:pPr>
          <w:hyperlink w:anchor="_Toc200441825" w:tgtFrame="_top">
            <w:r>
              <w:rPr>
                <w:rStyle w:val="Style"/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rStyle w:val="Style"/>
                <w:rFonts w:ascii="Times New Roman" w:hAnsi="Times New Roman"/>
                <w:sz w:val="24"/>
                <w:szCs w:val="24"/>
                <w:lang w:val="en-US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628" w:leader="dot"/>
            </w:tabs>
            <w:rPr/>
          </w:pPr>
          <w:hyperlink w:anchor="_Toc200441826" w:tgtFrame="_top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28" w:leader="dot"/>
            </w:tabs>
            <w:rPr/>
          </w:pPr>
          <w:hyperlink w:anchor="_Toc200441827" w:tgtFrame="_top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2.1.1.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28" w:leader="dot"/>
            </w:tabs>
            <w:rPr/>
          </w:pPr>
          <w:hyperlink w:anchor="_Toc200441828" w:tgtFrame="_top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880" w:leader="dot"/>
              <w:tab w:val="right" w:pos="9628" w:leader="dot"/>
            </w:tabs>
            <w:rPr/>
          </w:pPr>
          <w:hyperlink w:anchor="_Toc200441829" w:tgtFrame="_top">
            <w:r>
              <w:rPr>
                <w:rStyle w:val="Style"/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Требования к качеству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400" w:leader="dot"/>
              <w:tab w:val="right" w:pos="9628" w:leader="dot"/>
            </w:tabs>
            <w:rPr/>
          </w:pPr>
          <w:hyperlink w:anchor="_Toc200441830" w:tgtFrame="_top">
            <w:r>
              <w:rPr>
                <w:rStyle w:val="Style"/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400" w:leader="dot"/>
              <w:tab w:val="right" w:pos="9628" w:leader="dot"/>
            </w:tabs>
            <w:rPr/>
          </w:pPr>
          <w:hyperlink w:anchor="_Toc200441831" w:tgtFrame="_top">
            <w:r>
              <w:rPr>
                <w:rStyle w:val="Style"/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Style w:val="Style"/>
                <w:rFonts w:eastAsia="Times New Roman" w:ascii="Times New Roman" w:hAnsi="Times New Roman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_Toc200441831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"/>
                <w:rFonts w:ascii="Times New Roman" w:hAnsi="Times New Roman"/>
                <w:sz w:val="24"/>
                <w:szCs w:val="24"/>
              </w:rPr>
              <w:t>Приложения</w:t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"/>
              <w:sz w:val="24"/>
              <w:szCs w:val="24"/>
              <w:rFonts w:ascii="Times New Roman" w:hAnsi="Times New Roman"/>
            </w:rPr>
            <w:fldChar w:fldCharType="end"/>
          </w:r>
        </w:p>
      </w:sdtContent>
    </w:sdt>
    <w:p>
      <w:pPr>
        <w:pStyle w:val="Normal"/>
        <w:widowControl/>
        <w:suppressAutoHyphens w:val="false"/>
        <w:spacing w:lineRule="auto" w:line="276" w:before="0" w:after="20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3709" w:leader="none"/>
        </w:tabs>
        <w:rPr/>
      </w:pPr>
      <w:r>
        <w:rPr>
          <w:rFonts w:ascii="Times New Roman" w:hAnsi="Times New Roman"/>
        </w:rPr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1"/>
        <w:rPr>
          <w:sz w:val="26"/>
          <w:szCs w:val="26"/>
        </w:rPr>
      </w:pPr>
      <w:r>
        <w:rPr>
          <w:sz w:val="26"/>
          <w:szCs w:val="26"/>
        </w:rPr>
      </w:r>
      <w:bookmarkStart w:id="0" w:name="_Toc361660480"/>
      <w:bookmarkStart w:id="1" w:name="_Toc361660480"/>
      <w:bookmarkEnd w:id="1"/>
      <w:r>
        <w:br w:type="page"/>
      </w:r>
    </w:p>
    <w:p>
      <w:pPr>
        <w:pStyle w:val="11"/>
        <w:numPr>
          <w:ilvl w:val="0"/>
          <w:numId w:val="15"/>
        </w:numPr>
        <w:tabs>
          <w:tab w:val="clear" w:pos="360"/>
          <w:tab w:val="clear" w:pos="900"/>
          <w:tab w:val="left" w:pos="-5224" w:leader="none"/>
        </w:tabs>
        <w:spacing w:before="240" w:after="0"/>
        <w:jc w:val="center"/>
        <w:rPr/>
      </w:pPr>
      <w:bookmarkStart w:id="2" w:name="_Toc200441820"/>
      <w:bookmarkStart w:id="3" w:name="_Toc200032276"/>
      <w:bookmarkStart w:id="4" w:name="_Toc179983647"/>
      <w:bookmarkStart w:id="5" w:name="_Toc135142137"/>
      <w:r>
        <w:rPr>
          <w:sz w:val="28"/>
          <w:lang w:val="en-US"/>
        </w:rPr>
        <w:t xml:space="preserve">Общие </w:t>
      </w:r>
      <w:r>
        <w:rPr>
          <w:rFonts w:eastAsia="Calibri"/>
          <w:iCs/>
          <w:sz w:val="28"/>
          <w:szCs w:val="28"/>
        </w:rPr>
        <w:t>сведения</w:t>
      </w:r>
      <w:bookmarkEnd w:id="2"/>
      <w:bookmarkEnd w:id="3"/>
      <w:bookmarkEnd w:id="4"/>
      <w:bookmarkEnd w:id="5"/>
    </w:p>
    <w:p>
      <w:pPr>
        <w:pStyle w:val="21"/>
        <w:numPr>
          <w:ilvl w:val="0"/>
          <w:numId w:val="16"/>
        </w:numPr>
        <w:tabs>
          <w:tab w:val="clear" w:pos="-2115"/>
          <w:tab w:val="clear" w:pos="-1575"/>
          <w:tab w:val="left" w:pos="-1624" w:leader="none"/>
        </w:tabs>
        <w:spacing w:before="120" w:after="120"/>
        <w:jc w:val="left"/>
        <w:rPr/>
      </w:pPr>
      <w:bookmarkStart w:id="6" w:name="_Toc200441821"/>
      <w:bookmarkStart w:id="7" w:name="_Toc200032277"/>
      <w:bookmarkStart w:id="8" w:name="_Toc179983648"/>
      <w:bookmarkStart w:id="9" w:name="_Toc135142138"/>
      <w:r>
        <w:rPr>
          <w:b/>
          <w:bCs/>
        </w:rPr>
        <w:t>Обозначения</w:t>
      </w:r>
      <w:r>
        <w:rPr>
          <w:b/>
          <w:lang w:val="en-US"/>
        </w:rPr>
        <w:t xml:space="preserve"> и сокращения</w:t>
      </w:r>
      <w:bookmarkEnd w:id="6"/>
      <w:bookmarkEnd w:id="7"/>
      <w:bookmarkEnd w:id="8"/>
      <w:bookmarkEnd w:id="9"/>
    </w:p>
    <w:tbl>
      <w:tblPr>
        <w:tblW w:w="9426" w:type="dxa"/>
        <w:jc w:val="left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28"/>
        <w:gridCol w:w="7997"/>
      </w:tblGrid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bookmarkStart w:id="10" w:name="_Toc427926829"/>
            <w:bookmarkStart w:id="11" w:name="_Toc427926828"/>
            <w:bookmarkStart w:id="12" w:name="_Toc4739525"/>
            <w:bookmarkStart w:id="13" w:name="_Toc427935029"/>
            <w:bookmarkStart w:id="14" w:name="_Toc427935030"/>
            <w:bookmarkEnd w:id="10"/>
            <w:bookmarkEnd w:id="11"/>
            <w:bookmarkEnd w:id="12"/>
            <w:bookmarkEnd w:id="13"/>
            <w:bookmarkEnd w:id="14"/>
            <w:r>
              <w:rPr>
                <w:rFonts w:ascii="Times New Roman" w:hAnsi="Times New Roman"/>
                <w:sz w:val="24"/>
                <w:szCs w:val="24"/>
              </w:rPr>
              <w:t>АПС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автоматическая пожарная сигнализация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/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/>
              <w:t>ПАО «РусГидро»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/>
              <w:t>запасные изделия и приспособления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нормативно-технические документы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>
                <w:lang w:val="en-US"/>
              </w:rPr>
              <w:t>п</w:t>
            </w:r>
            <w:r>
              <w:rPr/>
              <w:t>убличное акционерное общество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-382" w:leader="none"/>
                <w:tab w:val="left" w:pos="57" w:leader="none"/>
              </w:tabs>
              <w:spacing w:before="60" w:after="60"/>
              <w:ind w:left="113" w:right="340" w:hanging="57"/>
              <w:jc w:val="left"/>
              <w:rPr/>
            </w:pPr>
            <w:r>
              <w:rPr/>
              <w:t>проектная документация «Системы автоматической пожарной сигнализации и системы оповещения и управления эвакуацией Чебоксарской ГЭС»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rPr/>
            </w:pPr>
            <w:r>
              <w:rPr/>
              <w:t>система оповещения и управления эвакуацией</w:t>
            </w:r>
          </w:p>
        </w:tc>
      </w:tr>
      <w:tr>
        <w:trPr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/>
              <w:t>технические требования</w:t>
            </w:r>
          </w:p>
        </w:tc>
      </w:tr>
      <w:tr>
        <w:trPr>
          <w:trHeight w:val="479" w:hRule="atLeast"/>
          <w:cantSplit w:val="true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Поставщик, Участник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0" w:leader="none"/>
                <w:tab w:val="left" w:pos="360" w:leader="none"/>
                <w:tab w:val="left" w:pos="900" w:leader="none"/>
              </w:tabs>
              <w:spacing w:before="60" w:after="60"/>
              <w:ind w:left="495" w:hanging="495"/>
              <w:jc w:val="left"/>
              <w:rPr/>
            </w:pPr>
            <w:r>
              <w:rPr/>
              <w:t>Организация поставщик, Контрагент</w:t>
            </w:r>
          </w:p>
        </w:tc>
      </w:tr>
    </w:tbl>
    <w:p>
      <w:pPr>
        <w:pStyle w:val="21"/>
        <w:numPr>
          <w:ilvl w:val="0"/>
          <w:numId w:val="17"/>
        </w:numPr>
        <w:tabs>
          <w:tab w:val="clear" w:pos="-2115"/>
          <w:tab w:val="clear" w:pos="-1575"/>
          <w:tab w:val="left" w:pos="-1624" w:leader="none"/>
        </w:tabs>
        <w:spacing w:before="120" w:after="120"/>
        <w:jc w:val="left"/>
        <w:rPr>
          <w:b/>
          <w:bCs/>
        </w:rPr>
      </w:pPr>
      <w:bookmarkStart w:id="15" w:name="_Toc200441822"/>
      <w:bookmarkStart w:id="16" w:name="_Toc200032278"/>
      <w:bookmarkStart w:id="17" w:name="_Toc135142139"/>
      <w:bookmarkStart w:id="18" w:name="_Toc179983649"/>
      <w:bookmarkStart w:id="19" w:name="_Toc4739534"/>
      <w:r>
        <w:rPr>
          <w:b/>
          <w:bCs/>
        </w:rPr>
        <w:t xml:space="preserve">Наименование закупаемой </w:t>
      </w:r>
      <w:bookmarkEnd w:id="19"/>
      <w:r>
        <w:rPr>
          <w:b/>
          <w:bCs/>
        </w:rPr>
        <w:t>продукции</w:t>
      </w:r>
      <w:bookmarkEnd w:id="15"/>
      <w:bookmarkEnd w:id="16"/>
      <w:bookmarkEnd w:id="17"/>
      <w:bookmarkEnd w:id="18"/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Поставка оборудования системы автоматической пожарной сигнализации и системы оповещения и управления эвакуацией Чебоксарской ГЭС» (очередь 1).</w:t>
      </w:r>
    </w:p>
    <w:p>
      <w:pPr>
        <w:pStyle w:val="21"/>
        <w:numPr>
          <w:ilvl w:val="0"/>
          <w:numId w:val="18"/>
        </w:numPr>
        <w:tabs>
          <w:tab w:val="clear" w:pos="-2115"/>
          <w:tab w:val="clear" w:pos="-1575"/>
          <w:tab w:val="left" w:pos="-1624" w:leader="none"/>
        </w:tabs>
        <w:spacing w:before="120" w:after="120"/>
        <w:jc w:val="left"/>
        <w:rPr>
          <w:b/>
          <w:bCs/>
        </w:rPr>
      </w:pPr>
      <w:bookmarkStart w:id="20" w:name="_Toc200441823"/>
      <w:bookmarkStart w:id="21" w:name="_Toc200032279"/>
      <w:bookmarkStart w:id="22" w:name="_Toc135142140"/>
      <w:bookmarkStart w:id="23" w:name="_Toc179983650"/>
      <w:bookmarkStart w:id="24" w:name="_Toc4739536"/>
      <w:r>
        <w:rPr>
          <w:b/>
          <w:bCs/>
        </w:rPr>
        <w:t xml:space="preserve">Цели </w:t>
      </w:r>
      <w:bookmarkEnd w:id="24"/>
      <w:r>
        <w:rPr>
          <w:b/>
          <w:bCs/>
        </w:rPr>
        <w:t>использования закупаемой продукции</w:t>
      </w:r>
      <w:bookmarkEnd w:id="20"/>
      <w:bookmarkEnd w:id="21"/>
      <w:bookmarkEnd w:id="22"/>
      <w:bookmarkEnd w:id="23"/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Поставка оборудования адресной системы АПС и СОУЭ Чебоксарской ГЭС проводится с целью:</w:t>
      </w:r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1.3.1. Оснащения части помещений Чебоксарской ГЭС системой пожарной сигнализации;</w:t>
      </w:r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1.3.2. Оснащения части помещений Чебоксарской ГЭС устройствами СОУЭ;</w:t>
      </w:r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1.3.3. Реализации функций отключения систем кондиционирования помещений Чебоксарской ГЭС при срабатывании АПС.</w:t>
      </w:r>
    </w:p>
    <w:p>
      <w:pPr>
        <w:pStyle w:val="11"/>
        <w:tabs>
          <w:tab w:val="clear" w:pos="360"/>
          <w:tab w:val="clear" w:pos="900"/>
          <w:tab w:val="left" w:pos="0" w:leader="none"/>
        </w:tabs>
        <w:ind w:firstLine="709"/>
        <w:rPr/>
      </w:pPr>
      <w:r>
        <w:rPr>
          <w:b w:val="false"/>
          <w:bCs/>
        </w:rPr>
        <w:t>1.3.4. Комплектации ЗИП системы АПС и СОУЭ.</w:t>
      </w:r>
    </w:p>
    <w:p>
      <w:pPr>
        <w:pStyle w:val="11"/>
        <w:tabs>
          <w:tab w:val="clear" w:pos="360"/>
          <w:tab w:val="clear" w:pos="900"/>
          <w:tab w:val="left" w:pos="0" w:leader="none"/>
        </w:tabs>
        <w:ind w:firstLine="567"/>
        <w:rPr>
          <w:b w:val="false"/>
          <w:bCs/>
        </w:rPr>
      </w:pPr>
      <w:r>
        <w:rPr>
          <w:b w:val="false"/>
          <w:bCs/>
        </w:rPr>
      </w:r>
    </w:p>
    <w:p>
      <w:pPr>
        <w:pStyle w:val="21"/>
        <w:numPr>
          <w:ilvl w:val="0"/>
          <w:numId w:val="19"/>
        </w:numPr>
        <w:tabs>
          <w:tab w:val="clear" w:pos="-2115"/>
          <w:tab w:val="clear" w:pos="-1575"/>
          <w:tab w:val="left" w:pos="-1624" w:leader="none"/>
        </w:tabs>
        <w:spacing w:before="120" w:after="120"/>
        <w:jc w:val="left"/>
        <w:rPr>
          <w:b/>
          <w:bCs/>
        </w:rPr>
      </w:pPr>
      <w:bookmarkStart w:id="25" w:name="_Toc200441824"/>
      <w:bookmarkStart w:id="26" w:name="_Toc200032280"/>
      <w:bookmarkStart w:id="27" w:name="_Toc125039223"/>
      <w:bookmarkStart w:id="28" w:name="_Toc46743509"/>
      <w:bookmarkStart w:id="29" w:name="_Hlk49857604"/>
      <w:bookmarkStart w:id="30" w:name="_Toc135039778"/>
      <w:bookmarkStart w:id="31" w:name="_Toc4739538"/>
      <w:bookmarkStart w:id="32" w:name="_Toc179983651"/>
      <w:bookmarkStart w:id="33" w:name="_Toc135142141"/>
      <w:bookmarkEnd w:id="30"/>
      <w:bookmarkEnd w:id="31"/>
      <w:bookmarkEnd w:id="32"/>
      <w:bookmarkEnd w:id="33"/>
      <w:r>
        <w:rPr>
          <w:b/>
          <w:bCs/>
        </w:rPr>
        <w:t xml:space="preserve">Информация в отношении исполнения договора, </w:t>
      </w:r>
      <w:bookmarkStart w:id="34" w:name="_Hlk46492347"/>
      <w:r>
        <w:rPr>
          <w:b/>
          <w:bCs/>
        </w:rPr>
        <w:t xml:space="preserve">которая должна быть учтена при подготовке заявки </w:t>
      </w:r>
      <w:bookmarkEnd w:id="34"/>
      <w:r>
        <w:rPr>
          <w:b/>
          <w:bCs/>
        </w:rPr>
        <w:t>(в том числе перечень ресурсов, услуг и документов, предоставляемых покупателем на этапе исполнения договора)</w:t>
      </w:r>
      <w:bookmarkEnd w:id="25"/>
      <w:bookmarkEnd w:id="26"/>
      <w:bookmarkEnd w:id="27"/>
      <w:bookmarkEnd w:id="28"/>
      <w:bookmarkEnd w:id="29"/>
    </w:p>
    <w:p>
      <w:pPr>
        <w:pStyle w:val="Normal"/>
        <w:ind w:firstLine="709"/>
        <w:rPr/>
      </w:pPr>
      <w:r>
        <w:rPr>
          <w:rFonts w:eastAsia="Times New Roman" w:ascii="Times New Roman" w:hAnsi="Times New Roman"/>
          <w:bCs/>
          <w:sz w:val="24"/>
          <w:szCs w:val="24"/>
        </w:rPr>
        <w:t>Территория Филиала является режимным объектом. Пропуск на территорию Филиала осуществляется только после предварительного согласования с ответственным сотрудником Филиала</w:t>
      </w:r>
      <w:r>
        <w:br w:type="page"/>
      </w:r>
    </w:p>
    <w:p>
      <w:pPr>
        <w:pStyle w:val="11"/>
        <w:numPr>
          <w:ilvl w:val="0"/>
          <w:numId w:val="20"/>
        </w:numPr>
        <w:tabs>
          <w:tab w:val="clear" w:pos="360"/>
          <w:tab w:val="clear" w:pos="900"/>
          <w:tab w:val="left" w:pos="-5224" w:leader="none"/>
        </w:tabs>
        <w:spacing w:before="240" w:after="0"/>
        <w:jc w:val="center"/>
        <w:rPr>
          <w:sz w:val="28"/>
          <w:lang w:val="en-US"/>
        </w:rPr>
      </w:pPr>
      <w:bookmarkStart w:id="35" w:name="_Toc200441825"/>
      <w:bookmarkStart w:id="36" w:name="_Toc200032281"/>
      <w:bookmarkStart w:id="37" w:name="_Toc51339693"/>
      <w:bookmarkStart w:id="38" w:name="_Toc125039224"/>
      <w:bookmarkStart w:id="39" w:name="_Toc135039778_Копия_1"/>
      <w:bookmarkStart w:id="40" w:name="_Toc4739538_Копия_1"/>
      <w:bookmarkStart w:id="41" w:name="_Toc179983651_Копия_1"/>
      <w:bookmarkStart w:id="42" w:name="_Toc135142141_Копия_1"/>
      <w:bookmarkEnd w:id="39"/>
      <w:bookmarkEnd w:id="40"/>
      <w:bookmarkEnd w:id="41"/>
      <w:bookmarkEnd w:id="42"/>
      <w:r>
        <w:rPr>
          <w:sz w:val="28"/>
          <w:lang w:val="en-US"/>
        </w:rPr>
        <w:t>Требования к продукции</w:t>
      </w:r>
      <w:bookmarkEnd w:id="35"/>
      <w:bookmarkEnd w:id="36"/>
      <w:bookmarkEnd w:id="37"/>
      <w:bookmarkEnd w:id="38"/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 w:cs="Times New Roman"/>
          <w:color w:val="auto"/>
        </w:rPr>
      </w:pPr>
      <w:bookmarkStart w:id="43" w:name="_Toc200441826"/>
      <w:bookmarkStart w:id="44" w:name="_Toc200032282"/>
      <w:bookmarkStart w:id="45" w:name="_Toc125039225"/>
      <w:r>
        <w:rPr>
          <w:rFonts w:cs="Times New Roman" w:ascii="Times New Roman" w:hAnsi="Times New Roman"/>
          <w:color w:val="auto"/>
        </w:rPr>
        <w:t>2.1. Требования к объемам и срокам поставки</w:t>
      </w:r>
      <w:bookmarkEnd w:id="43"/>
      <w:bookmarkEnd w:id="44"/>
      <w:bookmarkEnd w:id="45"/>
    </w:p>
    <w:p>
      <w:pPr>
        <w:pStyle w:val="Heading3"/>
        <w:numPr>
          <w:ilvl w:val="2"/>
          <w:numId w:val="1"/>
        </w:numPr>
        <w:tabs>
          <w:tab w:val="clear" w:pos="708"/>
          <w:tab w:val="left" w:pos="0" w:leader="none"/>
        </w:tabs>
        <w:rPr/>
      </w:pPr>
      <w:bookmarkStart w:id="46" w:name="_Toc200441827"/>
      <w:bookmarkStart w:id="47" w:name="_Toc200032283"/>
      <w:bookmarkStart w:id="48" w:name="_Toc125039226"/>
      <w:bookmarkStart w:id="49" w:name="_Toc125036751"/>
      <w:r>
        <w:rPr>
          <w:rFonts w:ascii="Times New Roman" w:hAnsi="Times New Roman"/>
          <w:color w:val="auto"/>
          <w:sz w:val="24"/>
          <w:szCs w:val="24"/>
        </w:rPr>
        <w:t>2.1.1. Перечень и объем закупаемой продукции</w:t>
      </w:r>
      <w:bookmarkEnd w:id="46"/>
      <w:bookmarkEnd w:id="47"/>
      <w:bookmarkEnd w:id="48"/>
      <w:bookmarkEnd w:id="49"/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50" w:name="_Toc200032284"/>
      <w:bookmarkStart w:id="51" w:name="_Toc125039227"/>
      <w:bookmarkStart w:id="52" w:name="_Toc125036752"/>
      <w:bookmarkStart w:id="53" w:name="_Toc51339695"/>
      <w:r>
        <w:rPr>
          <w:rFonts w:ascii="Times New Roman" w:hAnsi="Times New Roman"/>
          <w:sz w:val="24"/>
          <w:szCs w:val="24"/>
        </w:rPr>
        <w:t xml:space="preserve">Таблица 1 Перечень </w:t>
      </w:r>
      <w:bookmarkEnd w:id="53"/>
      <w:r>
        <w:rPr>
          <w:rFonts w:ascii="Times New Roman" w:hAnsi="Times New Roman"/>
          <w:sz w:val="24"/>
          <w:szCs w:val="24"/>
        </w:rPr>
        <w:t>и объем закупаемой продукции</w:t>
      </w:r>
      <w:bookmarkEnd w:id="50"/>
      <w:bookmarkEnd w:id="51"/>
      <w:bookmarkEnd w:id="52"/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1"/>
        <w:gridCol w:w="5986"/>
        <w:gridCol w:w="1427"/>
        <w:gridCol w:w="1566"/>
      </w:tblGrid>
      <w:tr>
        <w:trPr>
          <w:tblHeader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</w:tr>
      <w:tr>
        <w:trPr>
          <w:tblHeader w:val="true"/>
          <w:trHeight w:val="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>
        <w:trPr>
          <w:tblHeader w:val="true"/>
          <w:trHeight w:val="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8" w:leader="none"/>
              </w:tabs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омплект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АПС и СОУЭ по обе</w:t>
            </w:r>
            <w:bookmarkStart w:id="54" w:name="_GoBack_Копия_1"/>
            <w:bookmarkEnd w:id="54"/>
            <w:r>
              <w:rPr>
                <w:rFonts w:ascii="Times New Roman" w:hAnsi="Times New Roman"/>
                <w:bCs/>
                <w:sz w:val="24"/>
                <w:szCs w:val="24"/>
              </w:rPr>
              <w:t>спечению пожарной безопасности защищаемых помещений Чебоксарской ГЭС, в соответствии с приложением 1 к настоящим ТТ.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2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ЗИП к  АПС и СОУЭ по обеспечению пожарной безопасности защищаемых помещений Чебоксарской ГЭС в соответствии с приложением 2  к настоящим ТТ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tabs>
          <w:tab w:val="clear" w:pos="708"/>
          <w:tab w:val="left" w:pos="0" w:leader="none"/>
        </w:tabs>
        <w:rPr/>
      </w:pPr>
      <w:bookmarkStart w:id="55" w:name="_Toc200441828"/>
      <w:bookmarkStart w:id="56" w:name="_Toc200032286"/>
      <w:bookmarkStart w:id="57" w:name="_Toc125039229"/>
      <w:bookmarkStart w:id="58" w:name="_Toc125036754"/>
      <w:bookmarkStart w:id="59" w:name="_Toc51339696"/>
      <w:r>
        <w:rPr>
          <w:rFonts w:ascii="Times New Roman" w:hAnsi="Times New Roman"/>
          <w:color w:val="auto"/>
          <w:sz w:val="26"/>
          <w:szCs w:val="28"/>
        </w:rPr>
        <w:t xml:space="preserve">2.1.2. Требования </w:t>
      </w:r>
      <w:bookmarkEnd w:id="59"/>
      <w:r>
        <w:rPr>
          <w:rFonts w:ascii="Times New Roman" w:hAnsi="Times New Roman"/>
          <w:color w:val="auto"/>
          <w:sz w:val="26"/>
          <w:szCs w:val="28"/>
        </w:rPr>
        <w:t>к срокам поставки продукции и оказания сопутствующих услуг</w:t>
      </w:r>
      <w:bookmarkEnd w:id="55"/>
      <w:bookmarkEnd w:id="56"/>
      <w:bookmarkEnd w:id="57"/>
      <w:bookmarkEnd w:id="58"/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60" w:name="_Toc200032287"/>
      <w:bookmarkStart w:id="61" w:name="_Toc125039230"/>
      <w:bookmarkStart w:id="62" w:name="_Toc125036755"/>
      <w:bookmarkStart w:id="63" w:name="_Toc51339697"/>
      <w:bookmarkStart w:id="64" w:name="_Toc50125127"/>
      <w:r>
        <w:rPr>
          <w:rFonts w:ascii="Times New Roman" w:hAnsi="Times New Roman"/>
          <w:sz w:val="24"/>
          <w:szCs w:val="24"/>
        </w:rPr>
        <w:t xml:space="preserve">Таблица 2 </w:t>
      </w:r>
      <w:bookmarkStart w:id="65" w:name="_Hlk50465284"/>
      <w:r>
        <w:rPr>
          <w:rFonts w:ascii="Times New Roman" w:hAnsi="Times New Roman"/>
          <w:sz w:val="24"/>
          <w:szCs w:val="24"/>
        </w:rPr>
        <w:t xml:space="preserve">Требования по срокам </w:t>
      </w:r>
      <w:bookmarkEnd w:id="63"/>
      <w:bookmarkEnd w:id="64"/>
      <w:bookmarkEnd w:id="65"/>
      <w:r>
        <w:rPr>
          <w:rFonts w:ascii="Times New Roman" w:hAnsi="Times New Roman"/>
          <w:sz w:val="24"/>
          <w:szCs w:val="24"/>
        </w:rPr>
        <w:t>поставки продукции</w:t>
      </w:r>
      <w:bookmarkEnd w:id="60"/>
      <w:bookmarkEnd w:id="61"/>
      <w:bookmarkEnd w:id="62"/>
    </w:p>
    <w:tbl>
      <w:tblPr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82"/>
        <w:gridCol w:w="2121"/>
        <w:gridCol w:w="3400"/>
        <w:gridCol w:w="3402"/>
      </w:tblGrid>
      <w:tr>
        <w:trPr>
          <w:tblHeader w:val="true"/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Наименование продукции / (партии продукции)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Требования к началу срока поставки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>
        <w:trPr>
          <w:tblHeader w:val="true"/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АПС и СОУЭ по обеспечению пожарной безопасности защищаемых помещений Чебоксарской ГЭС в соответствии с приложением 1 к настоящим ТТ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-134" w:leader="none"/>
              </w:tabs>
              <w:ind w:left="227" w:hanging="0"/>
              <w:jc w:val="left"/>
              <w:rPr/>
            </w:pPr>
            <w:r>
              <w:rPr/>
              <w:t>со дня, следующего за днем подписания Договора обеими Сторонами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Два месяца три недели со дня, следующего за днем подписания Договора обеими Сторонами</w:t>
            </w:r>
          </w:p>
        </w:tc>
      </w:tr>
      <w:tr>
        <w:trPr>
          <w:tblHeader w:val="true"/>
          <w:trHeight w:val="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ЗИП к  АПС и СОУЭ по обеспечению пожарной безопасности защищаемых помещений Чебоксарской ГЭС в соответствии с приложением 2  к настоящим ТТ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tabs>
                <w:tab w:val="clear" w:pos="-2115"/>
                <w:tab w:val="clear" w:pos="-1575"/>
                <w:tab w:val="left" w:pos="-134" w:leader="none"/>
              </w:tabs>
              <w:ind w:left="227" w:hanging="0"/>
              <w:jc w:val="left"/>
              <w:rPr/>
            </w:pPr>
            <w:r>
              <w:rPr/>
              <w:t>со дня, следующего за днем подписания Договора обеими Сторонами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Два месяца три недели со дня, следующего за днем подписания Договора обеими Сторонами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34" w:gutter="0" w:header="709" w:top="851" w:footer="0" w:bottom="386"/>
          <w:pgNumType w:fmt="decimal"/>
          <w:formProt w:val="false"/>
          <w:textDirection w:val="lrTb"/>
          <w:docGrid w:type="default" w:linePitch="600" w:charSpace="45056"/>
        </w:sectPr>
      </w:pPr>
      <w:r>
        <w:br w:type="page"/>
      </w:r>
    </w:p>
    <w:p>
      <w:pPr>
        <w:pStyle w:val="11"/>
        <w:tabs>
          <w:tab w:val="clear" w:pos="360"/>
          <w:tab w:val="left" w:pos="567" w:leader="none"/>
          <w:tab w:val="left" w:pos="709" w:leader="none"/>
          <w:tab w:val="left" w:pos="900" w:leader="none"/>
          <w:tab w:val="left" w:pos="1134" w:leader="none"/>
        </w:tabs>
        <w:jc w:val="left"/>
        <w:rPr/>
      </w:pPr>
      <w:r>
        <w:rPr/>
      </w:r>
    </w:p>
    <w:p>
      <w:pPr>
        <w:pStyle w:val="11"/>
        <w:numPr>
          <w:ilvl w:val="1"/>
          <w:numId w:val="9"/>
        </w:numPr>
        <w:jc w:val="left"/>
        <w:rPr/>
      </w:pPr>
      <w:bookmarkStart w:id="66" w:name="_Toc135142150"/>
      <w:bookmarkStart w:id="67" w:name="_Toc179983661"/>
      <w:r>
        <w:rPr/>
        <w:t xml:space="preserve"> </w:t>
      </w:r>
      <w:bookmarkStart w:id="68" w:name="_Toc200032289"/>
      <w:bookmarkStart w:id="69" w:name="_Toc200441829"/>
      <w:r>
        <w:rPr/>
        <w:t>Требования к качеству продукции</w:t>
      </w:r>
      <w:bookmarkEnd w:id="66"/>
      <w:bookmarkEnd w:id="67"/>
      <w:bookmarkEnd w:id="68"/>
      <w:bookmarkEnd w:id="69"/>
    </w:p>
    <w:p>
      <w:pPr>
        <w:pStyle w:val="11"/>
        <w:ind w:left="1260" w:hanging="0"/>
        <w:jc w:val="left"/>
        <w:rPr/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70" w:name="__RefHeading___Toc31145_2708575354"/>
      <w:bookmarkStart w:id="71" w:name="_Toc200032290"/>
      <w:bookmarkStart w:id="72" w:name="_Toc135142151"/>
      <w:bookmarkStart w:id="73" w:name="_Toc179983662"/>
      <w:bookmarkEnd w:id="70"/>
      <w:r>
        <w:rPr>
          <w:rFonts w:ascii="Times New Roman" w:hAnsi="Times New Roman"/>
          <w:sz w:val="24"/>
          <w:szCs w:val="24"/>
        </w:rPr>
        <w:t>Таблица 3. Требования к качеству продукции</w:t>
      </w:r>
      <w:bookmarkEnd w:id="71"/>
      <w:bookmarkEnd w:id="72"/>
      <w:bookmarkEnd w:id="73"/>
    </w:p>
    <w:tbl>
      <w:tblPr>
        <w:tblW w:w="14620" w:type="dxa"/>
        <w:jc w:val="left"/>
        <w:tblInd w:w="-24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000" w:noHBand="0" w:lastColumn="0" w:firstColumn="0" w:lastRow="0" w:firstRow="0"/>
      </w:tblPr>
      <w:tblGrid>
        <w:gridCol w:w="1213"/>
        <w:gridCol w:w="1763"/>
        <w:gridCol w:w="7088"/>
        <w:gridCol w:w="1560"/>
        <w:gridCol w:w="1703"/>
        <w:gridCol w:w="1292"/>
      </w:tblGrid>
      <w:tr>
        <w:trPr>
          <w:tblHeader w:val="true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</w:rPr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параметра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Требование Покупателя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Предложение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</w:rPr>
              <w:t>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</w:rPr>
              <w:t>6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1.1.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Общие требования к оборудованию АПС и СОУЭ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539" w:leader="none"/>
              </w:tabs>
              <w:ind w:left="227" w:hanging="227"/>
              <w:jc w:val="both"/>
              <w:rPr/>
            </w:pPr>
            <w:r>
              <w:rPr>
                <w:sz w:val="24"/>
                <w:szCs w:val="24"/>
              </w:rPr>
              <w:t>Параметры и характеристики оборудования АПС и СОУЭ должны полностью соответствовать и удовлетворять всем требованиям приложений №1, 2 к настоящим ТТ «Спецификация и характеристики оборудования».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539" w:leader="none"/>
              </w:tabs>
              <w:ind w:left="227" w:hanging="227"/>
              <w:jc w:val="both"/>
              <w:rPr/>
            </w:pPr>
            <w:r>
              <w:rPr>
                <w:sz w:val="24"/>
                <w:szCs w:val="24"/>
              </w:rPr>
              <w:t>Все поставляемые компоненты АПС и СОУЭ на Чебоксарской ГЭС должны быть совместимы друг с другом на аппаратном и программном уровне, для оснащения помещений АПС и СОУЭ в соответствии с ПД (приложение №3 к настоящим ТТ).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539" w:leader="none"/>
              </w:tabs>
              <w:ind w:left="227" w:hanging="227"/>
              <w:jc w:val="both"/>
              <w:rPr/>
            </w:pPr>
            <w:r>
              <w:rPr>
                <w:sz w:val="24"/>
                <w:szCs w:val="24"/>
              </w:rPr>
              <w:t>Все поставляемые компоненты АПС и оборудование для сопряжения с системами кондиционирования должны быть совместимы друг с другом на аппаратном и программном уровне, для р</w:t>
            </w:r>
            <w:r>
              <w:rPr>
                <w:bCs/>
                <w:sz w:val="24"/>
                <w:szCs w:val="24"/>
              </w:rPr>
              <w:t>еализации функций отключения систем кондиционирования помещений Чебоксарской ГЭС при срабатывании АПС, в соответствии с ПД (приложение №3 к настоящим ТТ).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25" w:hanging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2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Оборудование АПС и СОУЭ должно соответствовать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</w:rPr>
              <w:t>3.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</w:rPr>
              <w:t>3.1.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Требования к констр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уктивным решениям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2" w:leader="none"/>
              </w:tabs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Соответствовать требованиям, указанным в приложении №1, 2 к настоящим ТТ «Спецификация и характеристики оборудования».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4.1.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Общие требования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tabs>
                <w:tab w:val="clear" w:pos="708"/>
                <w:tab w:val="left" w:pos="626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Оборудование АПС, СОУЭ должно соответствовать: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1" w:leader="none"/>
              </w:tabs>
              <w:ind w:left="313" w:hanging="28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 уровню температуры окружающего воздуха от +5 до +55</w:t>
            </w:r>
            <w:r>
              <w:rPr>
                <w:rFonts w:eastAsia="Symbol" w:ascii="Times New Roman" w:hAnsi="Times New Roman"/>
                <w:sz w:val="24"/>
                <w:szCs w:val="24"/>
              </w:rPr>
              <w:t>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С;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1" w:leader="none"/>
              </w:tabs>
              <w:ind w:left="313" w:hanging="28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 механическим воздействиям по ГОСТ 17516.1-90 по группе М6 – синусоидальная вибрация с частотой 0,5-100 Гц и перегрузкой 1g;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1" w:leader="none"/>
              </w:tabs>
              <w:ind w:left="313" w:hanging="28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 сейсмостойкости не ниже 7 баллов по шкале MSK-64 в соответствии с ГОСТ 17516.1-90;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21" w:leader="none"/>
              </w:tabs>
              <w:ind w:left="313" w:hanging="28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электромагнитной совместимости по ГОСТ Р50893-2000 по степени жестокости 4.</w:t>
            </w:r>
          </w:p>
          <w:p>
            <w:pPr>
              <w:pStyle w:val="Normal"/>
              <w:widowControl w:val="false"/>
              <w:numPr>
                <w:ilvl w:val="2"/>
                <w:numId w:val="5"/>
              </w:numPr>
              <w:tabs>
                <w:tab w:val="clear" w:pos="708"/>
                <w:tab w:val="left" w:pos="626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Значения уровней внешних воздействий (температура, влажность, вибрация, уровень электромагнитных полей, наличие пыли, вредных примесей) должны быть определены в соответствии с ПД.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5.1.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г. Новочебоксарск, ул. Набережная, влд. 34, склад ОМТО.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.2.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Транспортировка осуществляется силами и средствами Поставщиком (включая погрузку, разгрузку и перемещение до места складирования).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5.3.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485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Ответственность за сохранность оборудования до подписания товарной накладной ТОРГ-12/УПД несет Поставщик.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tabs>
                <w:tab w:val="clear" w:pos="708"/>
                <w:tab w:val="left" w:pos="485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Поставщик обязан обеспечить присутствие во время приемки оборудования и входного контроля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5.</w:t>
            </w: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Маркировка, упаковка и консервация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tabs>
                <w:tab w:val="clear" w:pos="708"/>
                <w:tab w:val="left" w:pos="721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Все неокрашенные металлические части оборудования, 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>
            <w:pPr>
              <w:pStyle w:val="Normal"/>
              <w:widowControl w:val="false"/>
              <w:numPr>
                <w:ilvl w:val="2"/>
                <w:numId w:val="6"/>
              </w:numPr>
              <w:tabs>
                <w:tab w:val="clear" w:pos="708"/>
                <w:tab w:val="left" w:pos="721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Оборудование (шкафы) должны быть для транспортирования упакованы в плотные ящики, материалы или в специальную тару.</w:t>
            </w:r>
          </w:p>
          <w:p>
            <w:pPr>
              <w:pStyle w:val="Normal"/>
              <w:widowControl w:val="false"/>
              <w:numPr>
                <w:ilvl w:val="2"/>
                <w:numId w:val="6"/>
              </w:numPr>
              <w:tabs>
                <w:tab w:val="clear" w:pos="708"/>
                <w:tab w:val="left" w:pos="721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Упаковка должна исключать возможность механических повреждений и климатических факторов внешней среды на оборудование.</w:t>
            </w:r>
          </w:p>
          <w:p>
            <w:pPr>
              <w:pStyle w:val="Normal"/>
              <w:widowControl w:val="false"/>
              <w:numPr>
                <w:ilvl w:val="2"/>
                <w:numId w:val="6"/>
              </w:numPr>
              <w:tabs>
                <w:tab w:val="clear" w:pos="708"/>
                <w:tab w:val="left" w:pos="721" w:leader="none"/>
              </w:tabs>
              <w:ind w:left="313" w:hanging="313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jc w:val="center"/>
              <w:rPr/>
            </w:pPr>
            <w:r>
              <w:rPr>
                <w:sz w:val="24"/>
                <w:lang w:val="en-US"/>
              </w:rPr>
              <w:t>6.1.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Требования к эксплуатации, ее режимам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Оборудование должно быть рассчитано на непрерывную работу со сроком эксплуатации не менее 10 лет.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7.1.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Срок гарантии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оборудование должен составлять не менее 36 месяцев с даты подписания Сторонами накладной ТОРГ-12/УПД.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7.2.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Гарантийное и послегарантийное обслуживание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ind w:left="29" w:firstLine="63"/>
              <w:jc w:val="both"/>
              <w:rPr/>
            </w:pPr>
            <w:r>
              <w:rPr>
                <w:sz w:val="24"/>
                <w:szCs w:val="24"/>
              </w:rPr>
              <w:t>В течение Гарантийного срока Поставщик гарантирует возможность эксплуатации оборудования в соответствии с его целевым назначением, а также несет безусловную ответственность за обнаруженные Покупателем недостатки, несоответствия и / или дефекты оборудования, если не докажет, что они явились следствием несоблюдения Покупателем требований по эксплуатации Оборудования, прямо предусмотренных в инструкциях и иных документах, переданных Покупателю.</w:t>
            </w:r>
          </w:p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ind w:left="0" w:hanging="0"/>
              <w:jc w:val="both"/>
              <w:rPr/>
            </w:pPr>
            <w:r>
              <w:rPr>
                <w:sz w:val="24"/>
                <w:szCs w:val="24"/>
              </w:rPr>
              <w:t>В случае обнаружения в период Гарантийного срока недостатков, несоответствий и / или дефектов оборудования, Покупатель направляет Поставщику письменное уведомление с указанием выявленных недостатков. Поставщик обязан незамедлительно обеспечить прибытие своего представителя, уполномоченного надлежащим образом оформленной доверенностью, для составления Акта о недостатках и согласования порядка и сроков их устранения.</w:t>
            </w:r>
          </w:p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ind w:left="0" w:hanging="0"/>
              <w:jc w:val="both"/>
              <w:rPr/>
            </w:pPr>
            <w:r>
              <w:rPr>
                <w:sz w:val="24"/>
                <w:szCs w:val="24"/>
              </w:rPr>
              <w:t>Наличие и полный перечень недостатков, несоответствий и / или дефектов оборудования, а также разумные сроки их устранения, оформляются Актом о недостатках, составляемым Сторонами, а при отказе или уклонении Поставщика от составления данного акта – Покупателем в одностороннем порядке.</w:t>
            </w:r>
          </w:p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ind w:left="0" w:hanging="0"/>
              <w:jc w:val="both"/>
              <w:rPr/>
            </w:pPr>
            <w:r>
              <w:rPr>
                <w:sz w:val="24"/>
                <w:szCs w:val="24"/>
              </w:rPr>
              <w:t>Поставщик обязан своими силами и за свой счет устранить недостатки, несоответствия и / или дефекты, обнаруженные Покупателем в течение Гарантийного срока, в срок, указанный в Акте о недостатках.</w:t>
            </w:r>
          </w:p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ind w:left="0" w:hanging="0"/>
              <w:jc w:val="both"/>
              <w:rPr/>
            </w:pPr>
            <w:r>
              <w:rPr>
                <w:sz w:val="24"/>
                <w:szCs w:val="24"/>
              </w:rPr>
              <w:t>Если Поставщик не устранит недостатки в установленный срок, Покупатель вправе собственными силами и / или силами третьих лиц выполнить необходимые работы по устранению недостатков оборудования, с отнесением на Поставщика соответствующих расходов. Поставщик обязан возместить стоимость расходов Покупателя на устранение недостатков, несоответствий и / или дефектов оборудования в течение 10 (десяти) рабочих дней с даты получения соответствующего письменного требования Покупателя.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99" w:leader="none"/>
              </w:tabs>
              <w:ind w:left="57" w:hanging="0"/>
              <w:jc w:val="both"/>
              <w:rPr/>
            </w:pPr>
            <w:r>
              <w:rPr>
                <w:sz w:val="24"/>
                <w:szCs w:val="24"/>
              </w:rPr>
              <w:t>6. Гарантийный срок на оборудование увеличивается на тот период времени, в течение которого Покупатель не мог эксплуатировать оборудование в целом или его часть вследствие указанных в настоящем разделе недостатков. Гарантийный срок на замененную или отремонтированную составную часть оборудования начинает исчисляться заново с даты приемки Покупателем работ по устранению недостатков.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8.1.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Объем комплектации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313" w:hanging="313"/>
              <w:jc w:val="both"/>
              <w:rPr/>
            </w:pPr>
            <w:r>
              <w:rPr>
                <w:sz w:val="24"/>
                <w:szCs w:val="24"/>
              </w:rPr>
              <w:t>Оборудование должно поставляться в комплектации, в соответствии с приложениями №1, 2 к настоящим ТТ.</w:t>
            </w:r>
          </w:p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313" w:hanging="313"/>
              <w:jc w:val="both"/>
              <w:rPr/>
            </w:pPr>
            <w:r>
              <w:rPr>
                <w:sz w:val="24"/>
                <w:szCs w:val="24"/>
              </w:rPr>
              <w:t>Если заводом-изготовителем предусмотрена техническая документация в комплекте поставки к Товару, то она должна быть предоставленаПокупателю в бумажном виде в 1 экземпляре на каждый такой Товар или на электронных носителях (в форматах *.xls/xlsx, *.doc/docx, *.vsd и/или *.pdf) в 1 экземпляре на каждый такой Товар на русском языке.</w:t>
            </w:r>
          </w:p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313" w:hanging="313"/>
              <w:jc w:val="both"/>
              <w:rPr/>
            </w:pPr>
            <w:r>
              <w:rPr>
                <w:sz w:val="24"/>
                <w:szCs w:val="24"/>
              </w:rPr>
              <w:t>Вместе с Товаром Поставщиком передаются накладные, товарно-транспортные накладные и другие обязательные сопроводительные документы. При некомплектности, недопоставке, отсутствии необходимых принадлежностей или документов, относящихся к Товару, Покупатель вправе с одновременным направлением письменного уведомления Поставщику прекратить приемку Товара до устранения нарушений. Поставщик обязан в течение 3 (трех) календарных дней с указанной даты представить необходимые комплектующие, документы или принадлежности, что не освобождает Поставщика от ответственности за убытки, причиненные нарушением срока поставки.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bookmarkStart w:id="74" w:name="_Hlk47446269"/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экономическим параметрам</w:t>
            </w:r>
            <w:bookmarkEnd w:id="74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9.1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Среднее время наработки на отказ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60" w:leader="none"/>
                <w:tab w:val="left" w:pos="900" w:leader="none"/>
              </w:tabs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100000 часов.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9.2.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Периодичность выполнения и объем ремонтов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Оборудование должно применяться, не требующее выполнения ремонтов на протяжении всего срока службы.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9.3.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Периодичность выполнения и объем ТО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Объемы и периодичность ТО в соответствии с руководством по эксплуатации оборудования и действующими НТД.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9.4.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Коэффициент готовности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Коэффициент готовности – не ниже 0,98.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10.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90" w:hanging="0"/>
              <w:rPr/>
            </w:pPr>
            <w:r>
              <w:rPr>
                <w:sz w:val="24"/>
                <w:lang w:val="en-US"/>
              </w:rPr>
              <w:t>10.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Объем поставки оборудования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numPr>
                <w:ilvl w:val="1"/>
                <w:numId w:val="1"/>
              </w:numPr>
              <w:tabs>
                <w:tab w:val="clear" w:pos="708"/>
                <w:tab w:val="left" w:pos="0" w:leader="none"/>
              </w:tabs>
              <w:spacing w:before="0" w:after="0"/>
              <w:textAlignment w:val="top"/>
              <w:rPr/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В полном соответствии с приложением №1, 2 и 4 к настоящим ТТ.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"/>
              <w:widowControl w:val="false"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"/>
              <w:widowControl w:val="false"/>
              <w:numPr>
                <w:ilvl w:val="2"/>
                <w:numId w:val="1"/>
              </w:numPr>
              <w:tabs>
                <w:tab w:val="clear" w:pos="708"/>
                <w:tab w:val="left" w:pos="0" w:leader="none"/>
              </w:tabs>
              <w:suppressAutoHyphens w:val="true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25" w:hanging="0"/>
              <w:rPr/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extAlignment w:val="top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90" w:hanging="0"/>
              <w:rPr/>
            </w:pPr>
            <w:r>
              <w:rPr>
                <w:sz w:val="24"/>
                <w:lang w:val="en-US"/>
              </w:rPr>
              <w:t>11.1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top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Поставляемая продукция должна быть российского происхождения – должна быть включена в реестры, предусмотренные пунктом 2 постановления Правительства Российской Федерации «О минимальной доле закупок товаров российского происхождения» от 03 декабря 2020 г. № 2013, а именно: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textAlignment w:val="top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1) реестр промышленной продукции, произведенной на территории Российской Федерации;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textAlignment w:val="top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2)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textAlignment w:val="top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3) единый реестр российской радиоэлектронной продукции.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bookmarkStart w:id="75" w:name="__RefHeading___Toc31149_2708575354"/>
            <w:bookmarkStart w:id="76" w:name="_Toc200032291"/>
            <w:bookmarkEnd w:id="75"/>
            <w:r>
              <w:rPr>
                <w:sz w:val="24"/>
                <w:szCs w:val="24"/>
              </w:rPr>
              <w:t>Согласие с требованием</w:t>
            </w:r>
            <w:bookmarkEnd w:id="76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"/>
              <w:widowControl w:val="false"/>
              <w:suppressAutoHyphens w:val="true"/>
              <w:rPr>
                <w:rFonts w:eastAsia="Calibri"/>
              </w:rPr>
            </w:pPr>
            <w:bookmarkStart w:id="77" w:name="_Toc200032292"/>
            <w:r>
              <w:rPr>
                <w:rFonts w:eastAsia="Calibri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  <w:bookmarkEnd w:id="77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"/>
              <w:widowControl w:val="false"/>
              <w:suppressAutoHyphens w:val="true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701" w:right="851" w:gutter="0" w:header="709" w:top="1134" w:footer="0" w:bottom="386"/>
          <w:pgNumType w:fmt="decimal"/>
          <w:formProt w:val="false"/>
          <w:textDirection w:val="lrTb"/>
          <w:docGrid w:type="default" w:linePitch="600" w:charSpace="45056"/>
        </w:sectPr>
      </w:pPr>
      <w:r>
        <w:br w:type="page"/>
      </w:r>
    </w:p>
    <w:p>
      <w:pPr>
        <w:pStyle w:val="11"/>
        <w:numPr>
          <w:ilvl w:val="0"/>
          <w:numId w:val="21"/>
        </w:numPr>
        <w:tabs>
          <w:tab w:val="clear" w:pos="360"/>
          <w:tab w:val="clear" w:pos="900"/>
          <w:tab w:val="left" w:pos="-5508" w:leader="none"/>
        </w:tabs>
        <w:spacing w:before="240" w:after="0"/>
        <w:jc w:val="center"/>
        <w:rPr/>
      </w:pPr>
      <w:bookmarkStart w:id="78" w:name="_Toc200441830"/>
      <w:bookmarkStart w:id="79" w:name="_Toc200032293"/>
      <w:bookmarkStart w:id="80" w:name="_Toc179983665"/>
      <w:bookmarkStart w:id="81" w:name="_Toc135142152"/>
      <w:r>
        <w:rPr/>
        <w:t>Требования к документации по ценообразованию на этапе закупки</w:t>
      </w:r>
      <w:bookmarkEnd w:id="78"/>
      <w:bookmarkEnd w:id="79"/>
      <w:bookmarkEnd w:id="80"/>
      <w:bookmarkEnd w:id="81"/>
    </w:p>
    <w:p>
      <w:pPr>
        <w:pStyle w:val="11"/>
        <w:tabs>
          <w:tab w:val="clear" w:pos="360"/>
          <w:tab w:val="clear" w:pos="900"/>
          <w:tab w:val="left" w:pos="1134" w:leader="none"/>
        </w:tabs>
        <w:spacing w:before="240" w:after="0"/>
        <w:ind w:left="567" w:firstLine="567"/>
        <w:rPr/>
      </w:pPr>
      <w:bookmarkStart w:id="82" w:name="__RefHeading___Toc31153_2708575354"/>
      <w:bookmarkStart w:id="83" w:name="_Toc200032294"/>
      <w:bookmarkStart w:id="84" w:name="_Toc179983666"/>
      <w:bookmarkEnd w:id="82"/>
      <w:r>
        <w:rPr>
          <w:b w:val="false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83"/>
      <w:bookmarkEnd w:id="84"/>
    </w:p>
    <w:p>
      <w:pPr>
        <w:pStyle w:val="11"/>
        <w:tabs>
          <w:tab w:val="clear" w:pos="360"/>
          <w:tab w:val="clear" w:pos="900"/>
          <w:tab w:val="left" w:pos="1134" w:leader="none"/>
        </w:tabs>
        <w:ind w:left="567" w:firstLine="567"/>
        <w:rPr/>
      </w:pPr>
      <w:bookmarkStart w:id="85" w:name="__RefHeading___Toc31155_2708575354"/>
      <w:bookmarkStart w:id="86" w:name="_Toc200032295"/>
      <w:bookmarkStart w:id="87" w:name="_Toc179983667"/>
      <w:bookmarkEnd w:id="85"/>
      <w:r>
        <w:rPr>
          <w:b w:val="false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 4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86"/>
      <w:bookmarkEnd w:id="87"/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  <w:r>
        <w:br w:type="page"/>
      </w:r>
    </w:p>
    <w:p>
      <w:pPr>
        <w:pStyle w:val="11"/>
        <w:numPr>
          <w:ilvl w:val="0"/>
          <w:numId w:val="22"/>
        </w:numPr>
        <w:tabs>
          <w:tab w:val="clear" w:pos="360"/>
          <w:tab w:val="clear" w:pos="900"/>
          <w:tab w:val="left" w:pos="-5508" w:leader="none"/>
        </w:tabs>
        <w:spacing w:before="240" w:after="0"/>
        <w:jc w:val="center"/>
        <w:rPr/>
      </w:pPr>
      <w:bookmarkStart w:id="88" w:name="_Toc200441831"/>
      <w:bookmarkStart w:id="89" w:name="_Toc200032296"/>
      <w:r>
        <w:rPr/>
        <w:t>П</w:t>
      </w:r>
      <w:bookmarkStart w:id="90" w:name="_Toc135142154"/>
      <w:bookmarkStart w:id="91" w:name="_Toc179983672"/>
      <w:r>
        <w:rPr/>
        <w:t>риложения</w:t>
      </w:r>
      <w:bookmarkEnd w:id="88"/>
      <w:bookmarkEnd w:id="89"/>
      <w:bookmarkEnd w:id="90"/>
      <w:bookmarkEnd w:id="91"/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1134" w:leader="none"/>
          <w:tab w:val="left" w:pos="1467" w:leader="none"/>
        </w:tabs>
        <w:spacing w:before="120" w:after="0"/>
        <w:ind w:left="567" w:hanging="567"/>
        <w:rPr/>
      </w:pPr>
      <w:r>
        <w:rPr/>
        <w:t>Приложение № 1: Спецификация и характеристики оборудования.</w:t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1134" w:leader="none"/>
          <w:tab w:val="left" w:pos="1467" w:leader="none"/>
        </w:tabs>
        <w:spacing w:before="120" w:after="0"/>
        <w:ind w:left="567" w:hanging="567"/>
        <w:rPr/>
      </w:pPr>
      <w:r>
        <w:rPr/>
        <w:t>Приложение № 2: Спецификация и характеристики оборудования (ЗИП).</w:t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567" w:leader="none"/>
          <w:tab w:val="left" w:pos="900" w:leader="none"/>
        </w:tabs>
        <w:spacing w:before="120" w:after="0"/>
        <w:ind w:left="0" w:hanging="0"/>
        <w:rPr/>
      </w:pPr>
      <w:r>
        <w:rPr/>
        <w:t>Приложение №3: Проектная документация «Системы автоматической пожарной сигнализции и системы оповещения и управления эвакуацией Чебоксарской ГЭС».</w:t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567" w:leader="none"/>
          <w:tab w:val="left" w:pos="900" w:leader="none"/>
        </w:tabs>
        <w:spacing w:before="120" w:after="0"/>
        <w:ind w:left="495" w:hanging="495"/>
        <w:rPr/>
      </w:pPr>
      <w:r>
        <w:rPr/>
        <w:t>Приложение №4: Требования к оформлению и составлению документации по ценообразованию.</w:t>
      </w:r>
      <w:bookmarkStart w:id="92" w:name="_GoBack"/>
      <w:bookmarkEnd w:id="92"/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567" w:leader="none"/>
          <w:tab w:val="left" w:pos="900" w:leader="none"/>
        </w:tabs>
        <w:spacing w:before="120" w:after="0"/>
        <w:ind w:left="0" w:hanging="0"/>
        <w:rPr/>
      </w:pPr>
      <w:r>
        <w:rPr/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360" w:leader="none"/>
          <w:tab w:val="left" w:pos="900" w:leader="none"/>
        </w:tabs>
        <w:spacing w:before="120" w:after="0"/>
        <w:ind w:left="567" w:hanging="495"/>
        <w:rPr/>
      </w:pPr>
      <w:r>
        <w:rPr/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360" w:leader="none"/>
          <w:tab w:val="left" w:pos="900" w:leader="none"/>
        </w:tabs>
        <w:spacing w:before="120" w:after="0"/>
        <w:ind w:left="567" w:hanging="495"/>
        <w:rPr/>
      </w:pPr>
      <w:r>
        <w:rPr/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360" w:leader="none"/>
          <w:tab w:val="left" w:pos="900" w:leader="none"/>
        </w:tabs>
        <w:ind w:left="-121" w:hanging="495"/>
        <w:rPr/>
      </w:pPr>
      <w:r>
        <w:rPr/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360" w:leader="none"/>
          <w:tab w:val="left" w:pos="900" w:leader="none"/>
        </w:tabs>
        <w:ind w:left="-121" w:hanging="495"/>
        <w:rPr/>
      </w:pPr>
      <w:r>
        <w:rPr/>
      </w:r>
    </w:p>
    <w:p>
      <w:pPr>
        <w:pStyle w:val="21"/>
        <w:numPr>
          <w:ilvl w:val="0"/>
          <w:numId w:val="0"/>
        </w:numPr>
        <w:tabs>
          <w:tab w:val="clear" w:pos="-2115"/>
          <w:tab w:val="clear" w:pos="-1575"/>
          <w:tab w:val="left" w:pos="360" w:leader="none"/>
          <w:tab w:val="left" w:pos="900" w:leader="none"/>
        </w:tabs>
        <w:ind w:left="-121" w:hanging="495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134" w:right="849" w:gutter="0" w:header="709" w:top="851" w:footer="0" w:bottom="386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495" w:hanging="495"/>
      </w:pPr>
      <w:rPr>
        <w:sz w:val="24"/>
        <w:i w:val="false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7" w:hanging="547"/>
      </w:pPr>
      <w:rPr>
        <w:sz w:val="24"/>
        <w:b w:val="false"/>
        <w:szCs w:val="24"/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37" w:hanging="227"/>
      </w:pPr>
      <w:rPr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i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i w:val="false"/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i w:val="false"/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false"/>
        <w:rFonts w:ascii="Times New Roman" w:hAnsi="Times New Roman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8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645" w:hanging="504"/>
      </w:pPr>
      <w:rPr>
        <w:sz w:val="24"/>
        <w:szCs w:val="24"/>
        <w:rFonts w:ascii="Times New Roman" w:hAnsi="Times New Roman" w:eastAsia="Calibri"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640" w:hanging="648"/>
      </w:pPr>
      <w:rPr/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65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5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5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1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5" w:hanging="1800"/>
      </w:pPr>
      <w:rPr/>
    </w:lvl>
  </w:abstractNum>
  <w:abstractNum w:abstractNumId="11">
    <w:lvl w:ilvl="0">
      <w:start w:val="1"/>
      <w:numFmt w:val="decimal"/>
      <w:lvlText w:val="1.%1."/>
      <w:lvlJc w:val="left"/>
      <w:pPr>
        <w:tabs>
          <w:tab w:val="num" w:pos="0"/>
        </w:tabs>
        <w:ind w:left="495" w:hanging="495"/>
      </w:pPr>
      <w:rPr>
        <w:sz w:val="24"/>
        <w:i w:val="false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7" w:hanging="547"/>
      </w:pPr>
      <w:rPr>
        <w:sz w:val="24"/>
        <w:b w:val="false"/>
        <w:szCs w:val="24"/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37" w:hanging="227"/>
      </w:pPr>
      <w:rPr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2">
    <w:lvl w:ilvl="0">
      <w:start w:val="1"/>
      <w:numFmt w:val="decimal"/>
      <w:lvlText w:val="1.%1."/>
      <w:lvlJc w:val="left"/>
      <w:pPr>
        <w:tabs>
          <w:tab w:val="num" w:pos="0"/>
        </w:tabs>
        <w:ind w:left="495" w:hanging="495"/>
      </w:pPr>
      <w:rPr>
        <w:sz w:val="24"/>
        <w:i w:val="false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7" w:hanging="547"/>
      </w:pPr>
      <w:rPr>
        <w:sz w:val="24"/>
        <w:b w:val="false"/>
        <w:szCs w:val="24"/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37" w:hanging="227"/>
      </w:pPr>
      <w:rPr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65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5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5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1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5" w:hanging="180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97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000000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BodyText"/>
    <w:link w:val="1"/>
    <w:autoRedefine/>
    <w:qFormat/>
    <w:rsid w:val="0053697e"/>
    <w:pPr>
      <w:keepNext w:val="true"/>
      <w:keepLines/>
      <w:numPr>
        <w:ilvl w:val="0"/>
        <w:numId w:val="1"/>
      </w:numPr>
      <w:suppressAutoHyphens w:val="false"/>
      <w:spacing w:before="240" w:after="0"/>
      <w:ind w:left="142" w:hanging="0"/>
      <w:jc w:val="right"/>
      <w:outlineLvl w:val="0"/>
    </w:pPr>
    <w:rPr>
      <w:rFonts w:ascii="Times New Roman" w:hAnsi="Times New Roman" w:eastAsia="Times New Roman"/>
      <w:bCs/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53697e"/>
    <w:pPr>
      <w:keepNext w:val="true"/>
      <w:keepLines/>
      <w:numPr>
        <w:ilvl w:val="1"/>
        <w:numId w:val="1"/>
      </w:numPr>
      <w:suppressAutoHyphens w:val="fals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53697e"/>
    <w:pPr>
      <w:keepNext w:val="true"/>
      <w:keepLines/>
      <w:numPr>
        <w:ilvl w:val="2"/>
        <w:numId w:val="1"/>
      </w:numPr>
      <w:suppressAutoHyphens w:val="false"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Heading4">
    <w:name w:val="Heading 4"/>
    <w:basedOn w:val="Normal"/>
    <w:next w:val="Normal"/>
    <w:link w:val="4"/>
    <w:qFormat/>
    <w:rsid w:val="0053697e"/>
    <w:pPr>
      <w:keepNext w:val="true"/>
      <w:numPr>
        <w:ilvl w:val="3"/>
        <w:numId w:val="1"/>
      </w:numPr>
      <w:tabs>
        <w:tab w:val="clear" w:pos="708"/>
        <w:tab w:val="left" w:pos="3888" w:leader="none"/>
      </w:tabs>
      <w:suppressAutoHyphens w:val="false"/>
      <w:spacing w:before="120" w:after="60"/>
      <w:ind w:left="1728" w:hanging="648"/>
      <w:outlineLvl w:val="3"/>
    </w:pPr>
    <w:rPr>
      <w:rFonts w:ascii="Times New Roman" w:hAnsi="Times New Roman" w:eastAsia="Times New Roman"/>
      <w:b/>
      <w:bCs/>
      <w:sz w:val="26"/>
      <w:szCs w:val="28"/>
    </w:rPr>
  </w:style>
  <w:style w:type="paragraph" w:styleId="Heading5">
    <w:name w:val="Heading 5"/>
    <w:next w:val="Normal"/>
    <w:link w:val="5"/>
    <w:qFormat/>
    <w:rsid w:val="0053697e"/>
    <w:pPr>
      <w:keepNext w:val="true"/>
      <w:widowControl w:val="false"/>
      <w:numPr>
        <w:ilvl w:val="4"/>
        <w:numId w:val="1"/>
      </w:numPr>
      <w:tabs>
        <w:tab w:val="clear" w:pos="708"/>
        <w:tab w:val="left" w:pos="5208" w:leader="none"/>
      </w:tabs>
      <w:suppressAutoHyphens w:val="true"/>
      <w:bidi w:val="0"/>
      <w:spacing w:lineRule="auto" w:line="360" w:before="280" w:after="0"/>
      <w:ind w:left="2460" w:hanging="792"/>
      <w:jc w:val="left"/>
      <w:textAlignment w:val="baseline"/>
      <w:outlineLvl w:val="4"/>
    </w:pPr>
    <w:rPr>
      <w:rFonts w:ascii="Times New Roman" w:hAnsi="Times New Roman" w:eastAsia="Times New Roman" w:cs="Times New Roman"/>
      <w:b/>
      <w:bCs/>
      <w:color w:val="000000"/>
      <w:spacing w:val="-16"/>
      <w:kern w:val="0"/>
      <w:sz w:val="24"/>
      <w:szCs w:val="34"/>
      <w:lang w:eastAsia="ru-RU" w:val="ru-RU" w:bidi="ar-SA"/>
    </w:rPr>
  </w:style>
  <w:style w:type="paragraph" w:styleId="Heading6">
    <w:name w:val="Heading 6"/>
    <w:basedOn w:val="Normal"/>
    <w:next w:val="Normal"/>
    <w:link w:val="6"/>
    <w:qFormat/>
    <w:rsid w:val="0053697e"/>
    <w:pPr>
      <w:keepNext w:val="true"/>
      <w:keepLines/>
      <w:numPr>
        <w:ilvl w:val="5"/>
        <w:numId w:val="1"/>
      </w:numPr>
      <w:suppressAutoHyphens w:val="false"/>
      <w:spacing w:before="200" w:after="0"/>
      <w:outlineLvl w:val="5"/>
    </w:pPr>
    <w:rPr>
      <w:rFonts w:ascii="Cambria" w:hAnsi="Cambria" w:eastAsia="Times New Roman" w:cs="Cambria"/>
      <w:i/>
      <w:iCs/>
      <w:color w:val="243F60"/>
    </w:rPr>
  </w:style>
  <w:style w:type="paragraph" w:styleId="Heading7">
    <w:name w:val="Heading 7"/>
    <w:basedOn w:val="Normal"/>
    <w:next w:val="Normal"/>
    <w:link w:val="7"/>
    <w:qFormat/>
    <w:rsid w:val="0053697e"/>
    <w:pPr>
      <w:keepNext w:val="true"/>
      <w:keepLines/>
      <w:numPr>
        <w:ilvl w:val="6"/>
        <w:numId w:val="1"/>
      </w:numPr>
      <w:suppressAutoHyphens w:val="false"/>
      <w:spacing w:before="200" w:after="0"/>
      <w:outlineLvl w:val="6"/>
    </w:pPr>
    <w:rPr>
      <w:rFonts w:ascii="Cambria" w:hAnsi="Cambria" w:eastAsia="Times New Roman" w:cs="Cambria"/>
      <w:i/>
      <w:iCs/>
      <w:color w:val="404040"/>
    </w:rPr>
  </w:style>
  <w:style w:type="paragraph" w:styleId="Heading8">
    <w:name w:val="Heading 8"/>
    <w:basedOn w:val="Normal"/>
    <w:next w:val="Normal"/>
    <w:link w:val="8"/>
    <w:qFormat/>
    <w:rsid w:val="0053697e"/>
    <w:pPr>
      <w:keepNext w:val="true"/>
      <w:keepLines/>
      <w:numPr>
        <w:ilvl w:val="7"/>
        <w:numId w:val="1"/>
      </w:numPr>
      <w:suppressAutoHyphens w:val="false"/>
      <w:spacing w:before="200" w:after="0"/>
      <w:outlineLvl w:val="7"/>
    </w:pPr>
    <w:rPr>
      <w:rFonts w:ascii="Cambria" w:hAnsi="Cambria" w:eastAsia="Times New Roman" w:cs="Cambria"/>
      <w:color w:val="4F81BD"/>
    </w:rPr>
  </w:style>
  <w:style w:type="paragraph" w:styleId="Heading9">
    <w:name w:val="Heading 9"/>
    <w:basedOn w:val="Normal"/>
    <w:next w:val="Normal"/>
    <w:link w:val="9"/>
    <w:qFormat/>
    <w:rsid w:val="0053697e"/>
    <w:pPr>
      <w:numPr>
        <w:ilvl w:val="8"/>
        <w:numId w:val="1"/>
      </w:numPr>
      <w:suppressAutoHyphens w:val="false"/>
      <w:spacing w:before="240" w:after="60"/>
      <w:outlineLvl w:val="8"/>
    </w:pPr>
    <w:rPr>
      <w:rFonts w:ascii="Arial" w:hAnsi="Arial" w:eastAsia="Times New Roman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3697e"/>
    <w:rPr>
      <w:rFonts w:ascii="Times New Roman" w:hAnsi="Times New Roman" w:eastAsia="Times New Roman" w:cs="Times New Roman"/>
      <w:bCs/>
      <w:color w:val="000000"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3697e"/>
    <w:rPr>
      <w:rFonts w:ascii="Cambria" w:hAnsi="Cambria" w:eastAsia="Times New Roman" w:cs="Cambria"/>
      <w:b/>
      <w:bCs/>
      <w:color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53697e"/>
    <w:rPr>
      <w:rFonts w:ascii="Cambria" w:hAnsi="Cambria" w:eastAsia="Times New Roman" w:cs="Cambria"/>
      <w:b/>
      <w:bCs/>
      <w:color w:val="4F81BD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53697e"/>
    <w:rPr>
      <w:rFonts w:ascii="Times New Roman" w:hAnsi="Times New Roman" w:eastAsia="Times New Roman" w:cs="Times New Roman"/>
      <w:b/>
      <w:bCs/>
      <w:color w:val="000000"/>
      <w:sz w:val="26"/>
      <w:szCs w:val="28"/>
      <w:lang w:eastAsia="ru-RU"/>
    </w:rPr>
  </w:style>
  <w:style w:type="character" w:styleId="5" w:customStyle="1">
    <w:name w:val="Заголовок 5 Знак"/>
    <w:basedOn w:val="DefaultParagraphFont"/>
    <w:qFormat/>
    <w:rsid w:val="0053697e"/>
    <w:rPr>
      <w:rFonts w:ascii="Times New Roman" w:hAnsi="Times New Roman" w:eastAsia="Times New Roman" w:cs="Times New Roman"/>
      <w:b/>
      <w:bCs/>
      <w:color w:val="000000"/>
      <w:spacing w:val="-16"/>
      <w:sz w:val="24"/>
      <w:szCs w:val="34"/>
      <w:lang w:eastAsia="ru-RU"/>
    </w:rPr>
  </w:style>
  <w:style w:type="character" w:styleId="6" w:customStyle="1">
    <w:name w:val="Заголовок 6 Знак"/>
    <w:basedOn w:val="DefaultParagraphFont"/>
    <w:qFormat/>
    <w:rsid w:val="0053697e"/>
    <w:rPr>
      <w:rFonts w:ascii="Cambria" w:hAnsi="Cambria" w:eastAsia="Times New Roman" w:cs="Cambria"/>
      <w:i/>
      <w:iCs/>
      <w:color w:val="243F60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53697e"/>
    <w:rPr>
      <w:rFonts w:ascii="Cambria" w:hAnsi="Cambria" w:eastAsia="Times New Roman" w:cs="Cambria"/>
      <w:i/>
      <w:iCs/>
      <w:color w:val="404040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53697e"/>
    <w:rPr>
      <w:rFonts w:ascii="Cambria" w:hAnsi="Cambria" w:eastAsia="Times New Roman" w:cs="Cambria"/>
      <w:color w:val="4F81BD"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53697e"/>
    <w:rPr>
      <w:rFonts w:ascii="Arial" w:hAnsi="Arial" w:eastAsia="Times New Roman" w:cs="Arial"/>
      <w:color w:val="000000"/>
      <w:sz w:val="20"/>
      <w:szCs w:val="20"/>
      <w:lang w:eastAsia="ru-RU"/>
    </w:rPr>
  </w:style>
  <w:style w:type="character" w:styleId="Style" w:customStyle="1">
    <w:name w:val="Ссылка указателя"/>
    <w:qFormat/>
    <w:rsid w:val="0053697e"/>
    <w:rPr/>
  </w:style>
  <w:style w:type="character" w:styleId="Style1" w:customStyle="1">
    <w:name w:val="Основной текст Знак"/>
    <w:basedOn w:val="DefaultParagraphFont"/>
    <w:qFormat/>
    <w:rsid w:val="0053697e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53697e"/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character" w:styleId="Style2" w:customStyle="1">
    <w:name w:val="Верхний колонтитул Знак"/>
    <w:basedOn w:val="DefaultParagraphFont"/>
    <w:qFormat/>
    <w:rsid w:val="0053697e"/>
    <w:rPr>
      <w:rFonts w:ascii="Calibri" w:hAnsi="Calibri" w:eastAsia="Calibri" w:cs="Times New Roman"/>
      <w:color w:val="000000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53697e"/>
    <w:pPr>
      <w:suppressAutoHyphens w:val="false"/>
      <w:spacing w:before="0" w:after="120"/>
    </w:pPr>
    <w:rPr>
      <w:rFonts w:ascii="Times New Roman" w:hAnsi="Times New Roman" w:eastAsia="Times New Roma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4">
    <w:name w:val="Указатель"/>
    <w:basedOn w:val="Normal"/>
    <w:qFormat/>
    <w:pPr>
      <w:suppressLineNumbers/>
    </w:pPr>
    <w:rPr/>
  </w:style>
  <w:style w:type="paragraph" w:styleId="BodyTextIndent3">
    <w:name w:val="Body Text Indent 3"/>
    <w:basedOn w:val="Normal"/>
    <w:link w:val="31"/>
    <w:qFormat/>
    <w:rsid w:val="0053697e"/>
    <w:pPr>
      <w:suppressAutoHyphens w:val="false"/>
      <w:spacing w:before="0" w:after="120"/>
      <w:ind w:left="283" w:hanging="0"/>
    </w:pPr>
    <w:rPr>
      <w:rFonts w:ascii="Times New Roman" w:hAnsi="Times New Roman" w:eastAsia="Times New Roman"/>
      <w:sz w:val="16"/>
      <w:szCs w:val="16"/>
    </w:rPr>
  </w:style>
  <w:style w:type="paragraph" w:styleId="11" w:customStyle="1">
    <w:name w:val="Стиль1"/>
    <w:basedOn w:val="Normal"/>
    <w:qFormat/>
    <w:rsid w:val="0053697e"/>
    <w:pPr>
      <w:tabs>
        <w:tab w:val="clear" w:pos="708"/>
        <w:tab w:val="left" w:pos="360" w:leader="none"/>
        <w:tab w:val="left" w:pos="900" w:leader="none"/>
      </w:tabs>
      <w:suppressAutoHyphens w:val="false"/>
      <w:jc w:val="both"/>
    </w:pPr>
    <w:rPr>
      <w:rFonts w:ascii="Times New Roman" w:hAnsi="Times New Roman" w:eastAsia="Times New Roman"/>
      <w:b/>
      <w:sz w:val="24"/>
      <w:szCs w:val="24"/>
    </w:rPr>
  </w:style>
  <w:style w:type="paragraph" w:styleId="21" w:customStyle="1">
    <w:name w:val="Стиль2"/>
    <w:basedOn w:val="Normal"/>
    <w:qFormat/>
    <w:rsid w:val="0053697e"/>
    <w:pPr>
      <w:numPr>
        <w:ilvl w:val="0"/>
        <w:numId w:val="2"/>
      </w:numPr>
      <w:tabs>
        <w:tab w:val="clear" w:pos="708"/>
        <w:tab w:val="left" w:pos="-2115" w:leader="none"/>
        <w:tab w:val="left" w:pos="-1575" w:leader="none"/>
      </w:tabs>
      <w:suppressAutoHyphens w:val="false"/>
      <w:jc w:val="both"/>
    </w:pPr>
    <w:rPr>
      <w:rFonts w:ascii="Times New Roman" w:hAnsi="Times New Roman" w:eastAsia="Times New Roman"/>
      <w:sz w:val="24"/>
      <w:szCs w:val="24"/>
    </w:rPr>
  </w:style>
  <w:style w:type="paragraph" w:styleId="TOC1">
    <w:name w:val="TOC 1"/>
    <w:basedOn w:val="Normal"/>
    <w:next w:val="Normal"/>
    <w:autoRedefine/>
    <w:rsid w:val="0053697e"/>
    <w:pPr>
      <w:spacing w:before="0" w:after="100"/>
    </w:pPr>
    <w:rPr/>
  </w:style>
  <w:style w:type="paragraph" w:styleId="ListParagraph">
    <w:name w:val="List Paragraph"/>
    <w:basedOn w:val="Normal"/>
    <w:qFormat/>
    <w:rsid w:val="0053697e"/>
    <w:pPr>
      <w:suppressAutoHyphens w:val="false"/>
      <w:ind w:left="720" w:hanging="0"/>
    </w:pPr>
    <w:rPr>
      <w:rFonts w:ascii="Times New Roman" w:hAnsi="Times New Roman" w:eastAsia="Times New Roman"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53697e"/>
    <w:pPr>
      <w:tabs>
        <w:tab w:val="clear" w:pos="708"/>
        <w:tab w:val="center" w:pos="4677" w:leader="none"/>
        <w:tab w:val="right" w:pos="9355" w:leader="none"/>
      </w:tabs>
      <w:suppressAutoHyphens w:val="false"/>
    </w:pPr>
    <w:rPr/>
  </w:style>
  <w:style w:type="paragraph" w:styleId="TOC3">
    <w:name w:val="TOC 3"/>
    <w:basedOn w:val="Normal"/>
    <w:next w:val="Normal"/>
    <w:autoRedefine/>
    <w:rsid w:val="0053697e"/>
    <w:pPr>
      <w:spacing w:before="0" w:after="100"/>
      <w:ind w:left="400" w:hanging="0"/>
    </w:pPr>
    <w:rPr/>
  </w:style>
  <w:style w:type="paragraph" w:styleId="TOC2">
    <w:name w:val="TOC 2"/>
    <w:basedOn w:val="Normal"/>
    <w:next w:val="Normal"/>
    <w:autoRedefine/>
    <w:rsid w:val="0053697e"/>
    <w:pPr>
      <w:spacing w:before="0" w:after="100"/>
      <w:ind w:left="20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basedOn w:val="Heading1"/>
    <w:next w:val="Normal"/>
    <w:qFormat/>
    <w:rsid w:val="0053697e"/>
    <w:pPr>
      <w:widowControl/>
      <w:numPr>
        <w:ilvl w:val="0"/>
        <w:numId w:val="0"/>
      </w:numPr>
      <w:spacing w:before="480" w:after="0"/>
      <w:ind w:left="142" w:hanging="0"/>
      <w:jc w:val="left"/>
    </w:pPr>
    <w:rPr>
      <w:rFonts w:ascii="Cambria" w:hAnsi="Cambria" w:eastAsia="Cambria" w:cs="Cambria"/>
      <w:color w:val="365F91"/>
    </w:rPr>
  </w:style>
  <w:style w:type="paragraph" w:styleId="Style6" w:customStyle="1">
    <w:name w:val="Таблица"/>
    <w:basedOn w:val="Normal"/>
    <w:qFormat/>
    <w:rsid w:val="0053697e"/>
    <w:pPr>
      <w:suppressAutoHyphens w:val="false"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AlterOffice/3.4.0.9$Linux_X86_64 LibreOffice_project/b8daf9e823b1a5463a2f48435ddc2e8696e7d4fc</Application>
  <AppVersion>15.0000</AppVersion>
  <Pages>11</Pages>
  <Words>1879</Words>
  <Characters>12742</Characters>
  <CharactersWithSpaces>14335</CharactersWithSpaces>
  <Paragraphs>267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2026-06-09T11:49:00Z</dcterms:created>
  <dc:creator>Парий Елена Геннадьевна</dc:creator>
  <dc:description/>
  <dc:language>ru-RU</dc:language>
  <cp:lastModifiedBy>kulaginane@corp.gidroogk.com</cp:lastModifiedBy>
  <dcterms:modified xsi:type="dcterms:W3CDTF">2026-06-10T08:28:58Z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