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13" w:rsidRPr="002144E6" w:rsidRDefault="00774242">
      <w:pPr>
        <w:jc w:val="center"/>
        <w:rPr>
          <w:b/>
        </w:rPr>
      </w:pPr>
      <w:r w:rsidRPr="002144E6">
        <w:rPr>
          <w:b/>
        </w:rPr>
        <w:t>Обоснование расчета плановой цены</w:t>
      </w:r>
    </w:p>
    <w:p w:rsidR="003F3913" w:rsidRPr="002144E6" w:rsidRDefault="003F3913"/>
    <w:p w:rsidR="003F3913" w:rsidRPr="002144E6" w:rsidRDefault="00774242">
      <w:pPr>
        <w:pStyle w:val="a8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bookmarkStart w:id="0" w:name="_Toc83644552"/>
      <w:bookmarkStart w:id="1" w:name="_Toc81156839"/>
      <w:bookmarkEnd w:id="0"/>
      <w:bookmarkEnd w:id="1"/>
      <w:r w:rsidRPr="002144E6">
        <w:rPr>
          <w:rFonts w:ascii="Times New Roman" w:hAnsi="Times New Roman"/>
          <w:b/>
          <w:sz w:val="24"/>
        </w:rPr>
        <w:t>Общая информация</w:t>
      </w:r>
    </w:p>
    <w:tbl>
      <w:tblPr>
        <w:tblStyle w:val="af1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3516"/>
        <w:gridCol w:w="5181"/>
      </w:tblGrid>
      <w:tr w:rsidR="003F3913" w:rsidRPr="002144E6">
        <w:tc>
          <w:tcPr>
            <w:tcW w:w="68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Информация по лоту</w:t>
            </w:r>
          </w:p>
        </w:tc>
      </w:tr>
      <w:tr w:rsidR="003F3913" w:rsidRPr="002144E6">
        <w:tc>
          <w:tcPr>
            <w:tcW w:w="682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Наименование лота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Поставка оборудования системы автоматической пожарной сигнализации и системы оповещения и управления эвакуацией Чебоксарской ГЭС</w:t>
            </w:r>
          </w:p>
        </w:tc>
      </w:tr>
      <w:tr w:rsidR="003F3913" w:rsidRPr="002144E6">
        <w:tc>
          <w:tcPr>
            <w:tcW w:w="682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Номер лота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4-ТПиР-ОТМ-2026-ЧеГЭС</w:t>
            </w:r>
          </w:p>
        </w:tc>
      </w:tr>
      <w:tr w:rsidR="003F3913" w:rsidRPr="002144E6">
        <w:tc>
          <w:tcPr>
            <w:tcW w:w="682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3.3-ТПиР4-2024-ЧебГЭС</w:t>
            </w:r>
          </w:p>
        </w:tc>
      </w:tr>
      <w:tr w:rsidR="003F3913" w:rsidRPr="002144E6">
        <w:tc>
          <w:tcPr>
            <w:tcW w:w="682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 xml:space="preserve">Закупка по лоту планируется 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состязательный отбор</w:t>
            </w:r>
          </w:p>
        </w:tc>
      </w:tr>
      <w:tr w:rsidR="003F3913" w:rsidRPr="002144E6">
        <w:tc>
          <w:tcPr>
            <w:tcW w:w="682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Расчет составил</w:t>
            </w:r>
          </w:p>
        </w:tc>
        <w:tc>
          <w:tcPr>
            <w:tcW w:w="5181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 xml:space="preserve">Начальник участка </w:t>
            </w:r>
            <w:proofErr w:type="spellStart"/>
            <w:r w:rsidRPr="002144E6">
              <w:rPr>
                <w:rFonts w:ascii="Times New Roman" w:hAnsi="Times New Roman"/>
                <w:i/>
                <w:sz w:val="24"/>
              </w:rPr>
              <w:t>ТАиВ</w:t>
            </w:r>
            <w:proofErr w:type="spellEnd"/>
            <w:r w:rsidRPr="002144E6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144E6">
              <w:rPr>
                <w:rFonts w:ascii="Times New Roman" w:hAnsi="Times New Roman"/>
                <w:i/>
                <w:sz w:val="24"/>
              </w:rPr>
              <w:t>СРЗАиМ</w:t>
            </w:r>
            <w:proofErr w:type="spellEnd"/>
            <w:r w:rsidRPr="002144E6">
              <w:rPr>
                <w:rFonts w:ascii="Times New Roman" w:hAnsi="Times New Roman"/>
                <w:i/>
                <w:sz w:val="24"/>
              </w:rPr>
              <w:t xml:space="preserve"> Филиала ПАО «РусГидро» - «Чебоксарская ГЭС»</w:t>
            </w:r>
          </w:p>
        </w:tc>
      </w:tr>
    </w:tbl>
    <w:p w:rsidR="003F3913" w:rsidRPr="002144E6" w:rsidRDefault="00774242">
      <w:pPr>
        <w:pStyle w:val="a8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 w:rsidRPr="002144E6">
        <w:rPr>
          <w:rFonts w:ascii="Times New Roman" w:hAnsi="Times New Roman"/>
          <w:b/>
          <w:sz w:val="24"/>
        </w:rPr>
        <w:t>Примененный метод (методы) расчета ПЦ</w:t>
      </w:r>
    </w:p>
    <w:tbl>
      <w:tblPr>
        <w:tblStyle w:val="af1"/>
        <w:tblW w:w="937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6"/>
        <w:gridCol w:w="2864"/>
        <w:gridCol w:w="5805"/>
      </w:tblGrid>
      <w:tr w:rsidR="003F3913" w:rsidRPr="002144E6">
        <w:tc>
          <w:tcPr>
            <w:tcW w:w="706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669" w:type="dxa"/>
            <w:gridSpan w:val="2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Информация по лоту</w:t>
            </w:r>
          </w:p>
        </w:tc>
      </w:tr>
      <w:tr w:rsidR="003F3913" w:rsidRPr="002144E6">
        <w:tc>
          <w:tcPr>
            <w:tcW w:w="706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9" w:type="dxa"/>
            <w:gridSpan w:val="2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i/>
                <w:sz w:val="24"/>
                <w:lang w:val="en-US"/>
              </w:rPr>
            </w:pPr>
            <w:r w:rsidRPr="002144E6">
              <w:rPr>
                <w:rFonts w:ascii="Times New Roman" w:hAnsi="Times New Roman"/>
                <w:b/>
                <w:sz w:val="24"/>
              </w:rPr>
              <w:t xml:space="preserve">Частная категория № 1: </w:t>
            </w:r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>Серийное оборудование</w:t>
            </w:r>
          </w:p>
          <w:p w:rsidR="003F3913" w:rsidRPr="002144E6" w:rsidRDefault="003F3913">
            <w:pPr>
              <w:widowControl w:val="0"/>
              <w:rPr>
                <w:i/>
              </w:rPr>
            </w:pPr>
          </w:p>
        </w:tc>
      </w:tr>
      <w:tr w:rsidR="003F3913" w:rsidRPr="002144E6">
        <w:tc>
          <w:tcPr>
            <w:tcW w:w="706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6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Основной метод расчета ПЦ по лоту</w:t>
            </w:r>
          </w:p>
        </w:tc>
        <w:tc>
          <w:tcPr>
            <w:tcW w:w="5805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Базисно-индексный метод.</w:t>
            </w:r>
          </w:p>
        </w:tc>
      </w:tr>
      <w:tr w:rsidR="003F3913" w:rsidRPr="002144E6">
        <w:tc>
          <w:tcPr>
            <w:tcW w:w="706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6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 xml:space="preserve">Проверочный метод расчета ПЦ </w:t>
            </w:r>
            <w:r w:rsidRPr="002144E6">
              <w:rPr>
                <w:rFonts w:ascii="Times New Roman" w:hAnsi="Times New Roman"/>
                <w:sz w:val="24"/>
              </w:rPr>
              <w:t>по лоту</w:t>
            </w:r>
          </w:p>
        </w:tc>
        <w:tc>
          <w:tcPr>
            <w:tcW w:w="5805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«не применимо»</w:t>
            </w:r>
          </w:p>
        </w:tc>
      </w:tr>
      <w:tr w:rsidR="003F3913" w:rsidRPr="002144E6">
        <w:tc>
          <w:tcPr>
            <w:tcW w:w="706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6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Дополнительный метод расчета ПЦ по лоту</w:t>
            </w:r>
          </w:p>
        </w:tc>
        <w:tc>
          <w:tcPr>
            <w:tcW w:w="5805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 xml:space="preserve"> «не применимо»</w:t>
            </w:r>
          </w:p>
        </w:tc>
      </w:tr>
      <w:tr w:rsidR="003F3913" w:rsidRPr="002144E6">
        <w:tc>
          <w:tcPr>
            <w:tcW w:w="706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6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Дата расчета (актуализации) расчета ПЦ</w:t>
            </w:r>
          </w:p>
        </w:tc>
        <w:tc>
          <w:tcPr>
            <w:tcW w:w="5805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1</w:t>
            </w:r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 xml:space="preserve"> квартал</w:t>
            </w:r>
            <w:bookmarkStart w:id="2" w:name="_GoBack"/>
            <w:bookmarkEnd w:id="2"/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 xml:space="preserve"> 202</w:t>
            </w:r>
            <w:r w:rsidRPr="002144E6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</w:tbl>
    <w:p w:rsidR="003F3913" w:rsidRPr="002144E6" w:rsidRDefault="003F3913">
      <w:pPr>
        <w:rPr>
          <w:b/>
        </w:rPr>
      </w:pPr>
    </w:p>
    <w:p w:rsidR="003F3913" w:rsidRPr="002144E6" w:rsidRDefault="00774242">
      <w:pPr>
        <w:pStyle w:val="a8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 w:rsidRPr="002144E6">
        <w:rPr>
          <w:rFonts w:ascii="Times New Roman" w:hAnsi="Times New Roman"/>
          <w:b/>
          <w:sz w:val="24"/>
        </w:rPr>
        <w:t>Свод ценовой информации по результатам расчета ПЦ</w:t>
      </w:r>
    </w:p>
    <w:tbl>
      <w:tblPr>
        <w:tblStyle w:val="af1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3"/>
        <w:gridCol w:w="2772"/>
        <w:gridCol w:w="5924"/>
      </w:tblGrid>
      <w:tr w:rsidR="003F3913" w:rsidRPr="002144E6">
        <w:tc>
          <w:tcPr>
            <w:tcW w:w="683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77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2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Информация по лоту</w:t>
            </w:r>
          </w:p>
        </w:tc>
      </w:tr>
      <w:tr w:rsidR="003F3913" w:rsidRPr="002144E6">
        <w:trPr>
          <w:trHeight w:val="1062"/>
        </w:trPr>
        <w:tc>
          <w:tcPr>
            <w:tcW w:w="683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 xml:space="preserve">ПЦ, полученная основным способом </w:t>
            </w:r>
          </w:p>
        </w:tc>
        <w:tc>
          <w:tcPr>
            <w:tcW w:w="592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11</w:t>
            </w:r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> </w:t>
            </w:r>
            <w:r w:rsidRPr="002144E6">
              <w:rPr>
                <w:rFonts w:ascii="Times New Roman" w:hAnsi="Times New Roman"/>
                <w:i/>
                <w:sz w:val="24"/>
              </w:rPr>
              <w:t xml:space="preserve">693 611,33 руб. без НДС </w:t>
            </w:r>
          </w:p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 xml:space="preserve">(10 817 699,66 руб. без НДС – оборудование; </w:t>
            </w:r>
          </w:p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875 911,67 руб. без НДС – ЗИП)</w:t>
            </w:r>
          </w:p>
        </w:tc>
      </w:tr>
      <w:tr w:rsidR="003F3913" w:rsidRPr="002144E6">
        <w:tc>
          <w:tcPr>
            <w:tcW w:w="683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 xml:space="preserve">ПЦ, полученная проверочным способом </w:t>
            </w:r>
          </w:p>
        </w:tc>
        <w:tc>
          <w:tcPr>
            <w:tcW w:w="592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 xml:space="preserve"> «не применимо»</w:t>
            </w:r>
          </w:p>
        </w:tc>
      </w:tr>
      <w:tr w:rsidR="003F3913" w:rsidRPr="002144E6">
        <w:tc>
          <w:tcPr>
            <w:tcW w:w="683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 xml:space="preserve">ПЦ, полученная дополнительным способом </w:t>
            </w:r>
          </w:p>
        </w:tc>
        <w:tc>
          <w:tcPr>
            <w:tcW w:w="592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 xml:space="preserve"> «не применимо»</w:t>
            </w:r>
          </w:p>
        </w:tc>
      </w:tr>
      <w:tr w:rsidR="003F3913" w:rsidRPr="002144E6">
        <w:tc>
          <w:tcPr>
            <w:tcW w:w="683" w:type="dxa"/>
          </w:tcPr>
          <w:p w:rsidR="003F3913" w:rsidRPr="002144E6" w:rsidRDefault="003F3913">
            <w:pPr>
              <w:pStyle w:val="a8"/>
              <w:widowControl w:val="0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sz w:val="24"/>
              </w:rPr>
            </w:pPr>
            <w:r w:rsidRPr="002144E6">
              <w:rPr>
                <w:rFonts w:ascii="Times New Roman" w:hAnsi="Times New Roman"/>
                <w:sz w:val="24"/>
              </w:rPr>
              <w:t>Итоговая ПЦ</w:t>
            </w:r>
          </w:p>
        </w:tc>
        <w:tc>
          <w:tcPr>
            <w:tcW w:w="5924" w:type="dxa"/>
          </w:tcPr>
          <w:p w:rsidR="003F3913" w:rsidRPr="002144E6" w:rsidRDefault="00774242">
            <w:pPr>
              <w:pStyle w:val="a8"/>
              <w:widowControl w:val="0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 w:rsidRPr="002144E6">
              <w:rPr>
                <w:rFonts w:ascii="Times New Roman" w:hAnsi="Times New Roman"/>
                <w:i/>
                <w:sz w:val="24"/>
              </w:rPr>
              <w:t>11</w:t>
            </w:r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> </w:t>
            </w:r>
            <w:r w:rsidRPr="002144E6">
              <w:rPr>
                <w:rFonts w:ascii="Times New Roman" w:hAnsi="Times New Roman"/>
                <w:i/>
                <w:sz w:val="24"/>
              </w:rPr>
              <w:t>693</w:t>
            </w:r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2144E6">
              <w:rPr>
                <w:rFonts w:ascii="Times New Roman" w:hAnsi="Times New Roman"/>
                <w:i/>
                <w:sz w:val="24"/>
              </w:rPr>
              <w:t xml:space="preserve">611,33 руб. </w:t>
            </w:r>
            <w:proofErr w:type="spellStart"/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>без</w:t>
            </w:r>
            <w:proofErr w:type="spellEnd"/>
            <w:r w:rsidRPr="002144E6">
              <w:rPr>
                <w:rFonts w:ascii="Times New Roman" w:hAnsi="Times New Roman"/>
                <w:i/>
                <w:sz w:val="24"/>
                <w:lang w:val="en-US"/>
              </w:rPr>
              <w:t xml:space="preserve"> НДС</w:t>
            </w:r>
          </w:p>
        </w:tc>
      </w:tr>
    </w:tbl>
    <w:p w:rsidR="003F3913" w:rsidRPr="002144E6" w:rsidRDefault="003F3913">
      <w:pPr>
        <w:rPr>
          <w:b/>
        </w:rPr>
      </w:pPr>
    </w:p>
    <w:sectPr w:rsidR="003F3913" w:rsidRPr="002144E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4F8"/>
    <w:multiLevelType w:val="multilevel"/>
    <w:tmpl w:val="3614F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A56635"/>
    <w:multiLevelType w:val="multilevel"/>
    <w:tmpl w:val="97506D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PLuIEY5U2L/PGyaaPt3jwJerED4Gpuk5ZUuTT8wLu1KAtno7TR36m1xmouAqPWZ/vdgw8hoTV7AqRKWS9ZmbrA==" w:salt="W9DUd7+0kxlXjogl8ZfTMg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13"/>
    <w:rsid w:val="002144E6"/>
    <w:rsid w:val="003F3913"/>
    <w:rsid w:val="007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2AC8-9C9F-4EE2-BFDB-98320DF2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5B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854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uiPriority w:val="99"/>
    <w:qFormat/>
    <w:rsid w:val="0085405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Абзац списка Знак"/>
    <w:basedOn w:val="a0"/>
    <w:link w:val="a8"/>
    <w:uiPriority w:val="34"/>
    <w:qFormat/>
    <w:rsid w:val="0085405B"/>
    <w:rPr>
      <w:rFonts w:ascii="Calibri" w:eastAsia="Times New Roman" w:hAnsi="Calibri" w:cs="Times New Roman"/>
      <w:szCs w:val="24"/>
      <w:lang w:eastAsia="ru-RU"/>
    </w:rPr>
  </w:style>
  <w:style w:type="character" w:customStyle="1" w:styleId="a9">
    <w:name w:val="РГ_приложение Знак"/>
    <w:basedOn w:val="a0"/>
    <w:link w:val="aa"/>
    <w:qFormat/>
    <w:rsid w:val="0085405B"/>
    <w:rPr>
      <w:rFonts w:eastAsia="Times New Roman" w:cstheme="minorHAnsi"/>
      <w:cap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540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line number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footnote text"/>
    <w:basedOn w:val="a"/>
    <w:link w:val="a3"/>
    <w:uiPriority w:val="99"/>
    <w:rsid w:val="0085405B"/>
    <w:rPr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85405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aa">
    <w:name w:val="РГ_приложение"/>
    <w:basedOn w:val="2"/>
    <w:link w:val="a9"/>
    <w:qFormat/>
    <w:rsid w:val="0085405B"/>
    <w:pPr>
      <w:keepLines w:val="0"/>
      <w:spacing w:before="240" w:after="60"/>
      <w:jc w:val="right"/>
    </w:pPr>
    <w:rPr>
      <w:rFonts w:asciiTheme="minorHAnsi" w:eastAsia="Times New Roman" w:hAnsiTheme="minorHAnsi" w:cstheme="minorHAnsi"/>
      <w:caps/>
      <w:color w:val="auto"/>
      <w:sz w:val="24"/>
      <w:szCs w:val="28"/>
    </w:rPr>
  </w:style>
  <w:style w:type="table" w:styleId="af1">
    <w:name w:val="Table Grid"/>
    <w:basedOn w:val="a1"/>
    <w:uiPriority w:val="59"/>
    <w:rsid w:val="0085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Абдрашитова Елена Александровна</dc:creator>
  <dc:description/>
  <cp:lastModifiedBy>Кулагина Наталия Евгеньевна</cp:lastModifiedBy>
  <cp:revision>8</cp:revision>
  <cp:lastPrinted>2026-05-15T10:41:00Z</cp:lastPrinted>
  <dcterms:created xsi:type="dcterms:W3CDTF">2026-04-09T06:43:00Z</dcterms:created>
  <dcterms:modified xsi:type="dcterms:W3CDTF">2026-06-09T07:09:00Z</dcterms:modified>
  <dc:language>ru-RU</dc:language>
</cp:coreProperties>
</file>