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Технические требования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p>
      <w:pPr>
        <w:pStyle w:val="Normal"/>
        <w:jc w:val="center"/>
        <w:rPr/>
      </w:pPr>
      <w:r>
        <w:rPr>
          <w:rFonts w:eastAsia="Calibri"/>
        </w:rPr>
        <w:t>ОКПД 2: 33.12.29.900 Оказание услуг по р</w:t>
      </w:r>
      <w:r>
        <w:rPr>
          <w:rFonts w:eastAsia="TimesNewRomanPSMT"/>
        </w:rPr>
        <w:t xml:space="preserve">емонту сервомоторов </w:t>
      </w:r>
      <w:r>
        <w:rPr/>
        <w:t>гидроцилиндров №1, №2, №3 в заводских условиях для нужд производственного участка Саяно-Шушенского филиала АО "Гидроремонт-ВКК" в г.Заволжье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i w:val="false"/>
          <w:i w:val="false"/>
        </w:rPr>
      </w:pPr>
      <w:r>
        <w:rPr>
          <w:rFonts w:eastAsia="Calibri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</w:rPr>
      </w:pPr>
      <w:r>
        <w:rPr>
          <w:rFonts w:eastAsia="Calibri"/>
        </w:rPr>
        <w:t>Лот №</w:t>
      </w:r>
      <w:r>
        <w:rPr/>
        <w:t xml:space="preserve"> </w:t>
      </w:r>
      <w:r>
        <w:rPr>
          <w:rFonts w:eastAsia="Calibri"/>
        </w:rPr>
        <w:t>__________________________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769" w:leader="dot"/>
            </w:tabs>
            <w:rPr>
              <w:rFonts w:eastAsia="新細明體" w:cs="Times New Roman" w:eastAsiaTheme="minorEastAsia"/>
              <w:bCs w:val="false"/>
              <w:sz w:val="28"/>
              <w:szCs w:val="28"/>
            </w:rPr>
          </w:pPr>
          <w:r>
            <w:fldChar w:fldCharType="begin"/>
          </w:r>
          <w:r>
            <w:rPr>
              <w:webHidden/>
              <w:rStyle w:val="Style14"/>
              <w:sz w:val="28"/>
              <w:szCs w:val="28"/>
              <w:vanish w:val="false"/>
              <w:rFonts w:eastAsia="Calibri"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8"/>
              <w:szCs w:val="28"/>
              <w:vanish w:val="false"/>
              <w:rFonts w:eastAsia="Calibri" w:cs="Times New Roman"/>
            </w:rPr>
            <w:fldChar w:fldCharType="separate"/>
          </w:r>
          <w:hyperlink w:anchor="_Toc191372442">
            <w:r>
              <w:rPr>
                <w:webHidden/>
                <w:rStyle w:val="Style14"/>
                <w:rFonts w:eastAsia="Calibri" w:cs="Times New Roman"/>
                <w:vanish w:val="false"/>
                <w:sz w:val="28"/>
                <w:szCs w:val="28"/>
              </w:rPr>
              <w:t>1.</w:t>
            </w:r>
            <w:r>
              <w:rPr>
                <w:rStyle w:val="Style14"/>
                <w:rFonts w:eastAsia="新細明體" w:cs="Times New Roman" w:eastAsiaTheme="minorEastAsia"/>
                <w:bCs w:val="false"/>
                <w:sz w:val="28"/>
                <w:szCs w:val="28"/>
              </w:rPr>
              <w:tab/>
            </w:r>
            <w:r>
              <w:rPr>
                <w:rStyle w:val="Style14"/>
                <w:rFonts w:eastAsia="Calibri" w:cs="Times New Roman"/>
                <w:sz w:val="28"/>
                <w:szCs w:val="28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新細明體" w:cs="Times New Roman" w:eastAsiaTheme="minorEastAsia"/>
              <w:b/>
              <w:sz w:val="28"/>
              <w:szCs w:val="28"/>
            </w:rPr>
          </w:pPr>
          <w:r>
            <w:rPr>
              <w:rFonts w:cs="Times New Roman"/>
              <w:b/>
              <w:color w:val="auto"/>
              <w:sz w:val="28"/>
              <w:szCs w:val="28"/>
              <w:u w:val="none"/>
            </w:rPr>
            <w:t>1.1.</w:t>
          </w:r>
          <w:hyperlink w:anchor="_Toc191372443">
            <w:r>
              <w:rPr>
                <w:webHidden/>
                <w:rStyle w:val="Style14"/>
                <w:rFonts w:cs="Times New Roman"/>
                <w:b/>
                <w:vanish w:val="false"/>
                <w:color w:val="auto"/>
                <w:sz w:val="28"/>
                <w:szCs w:val="28"/>
              </w:rPr>
              <w:t>Наименование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b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新細明體" w:cs="Times New Roman" w:eastAsiaTheme="minorEastAsia"/>
              <w:b/>
              <w:sz w:val="28"/>
              <w:szCs w:val="28"/>
            </w:rPr>
          </w:pPr>
          <w:r>
            <w:rPr>
              <w:rFonts w:cs="Times New Roman"/>
              <w:b/>
              <w:color w:val="auto"/>
              <w:sz w:val="28"/>
              <w:szCs w:val="28"/>
              <w:u w:val="none"/>
            </w:rPr>
            <w:t>1.2.</w:t>
          </w:r>
          <w:hyperlink w:anchor="_Toc191372444">
            <w:r>
              <w:rPr>
                <w:webHidden/>
                <w:rStyle w:val="Style14"/>
                <w:rFonts w:cs="Times New Roman"/>
                <w:b/>
                <w:vanish w:val="false"/>
                <w:color w:val="auto"/>
                <w:sz w:val="28"/>
                <w:szCs w:val="28"/>
                <w:u w:val="none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b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新細明體" w:cs="Times New Roman" w:eastAsiaTheme="minorEastAsia"/>
              <w:b/>
              <w:sz w:val="28"/>
              <w:szCs w:val="28"/>
            </w:rPr>
          </w:pPr>
          <w:r>
            <w:rPr>
              <w:rFonts w:cs="Times New Roman"/>
              <w:b/>
              <w:color w:val="auto"/>
              <w:sz w:val="28"/>
              <w:szCs w:val="28"/>
              <w:u w:val="none"/>
            </w:rPr>
            <w:t>1.3.</w:t>
          </w:r>
          <w:hyperlink w:anchor="_Toc191372445">
            <w:r>
              <w:rPr>
                <w:webHidden/>
                <w:rStyle w:val="Style14"/>
                <w:rFonts w:cs="Times New Roman"/>
                <w:b/>
                <w:vanish w:val="false"/>
                <w:color w:val="auto"/>
                <w:sz w:val="28"/>
                <w:szCs w:val="28"/>
                <w:u w:val="none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b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69" w:leader="dot"/>
            </w:tabs>
            <w:rPr>
              <w:rFonts w:eastAsia="新細明體" w:cs="Times New Roman" w:eastAsiaTheme="minorEastAsia"/>
              <w:bCs w:val="false"/>
              <w:sz w:val="28"/>
              <w:szCs w:val="28"/>
            </w:rPr>
          </w:pPr>
          <w:hyperlink w:anchor="_Toc191372446">
            <w:r>
              <w:rPr>
                <w:webHidden/>
                <w:rStyle w:val="Style14"/>
                <w:rFonts w:eastAsia="Calibri" w:cs="Times New Roman"/>
                <w:vanish w:val="false"/>
                <w:color w:val="auto"/>
                <w:sz w:val="28"/>
                <w:szCs w:val="28"/>
                <w:u w:val="none"/>
              </w:rPr>
              <w:t>Таблица 1. Перечень объектов</w:t>
            </w:r>
            <w:r>
              <w:rPr>
                <w:rStyle w:val="Style14"/>
                <w:rFonts w:eastAsia="Calibri" w:cs="Times New Roman"/>
                <w:color w:val="auto"/>
                <w:sz w:val="28"/>
                <w:szCs w:val="28"/>
                <w:u w:val="none"/>
                <w:lang w:val="en-US"/>
              </w:rPr>
              <w:t xml:space="preserve">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新細明體" w:cs="Times New Roman" w:eastAsiaTheme="minorEastAsia"/>
              <w:b/>
              <w:sz w:val="28"/>
              <w:szCs w:val="28"/>
            </w:rPr>
          </w:pPr>
          <w:r>
            <w:rPr>
              <w:rFonts w:cs="Times New Roman"/>
              <w:b/>
              <w:color w:val="auto"/>
              <w:sz w:val="28"/>
              <w:szCs w:val="28"/>
              <w:u w:val="none"/>
            </w:rPr>
            <w:t xml:space="preserve">1.4. </w:t>
          </w:r>
          <w:hyperlink w:anchor="_Toc191372447">
            <w:r>
              <w:rPr>
                <w:webHidden/>
                <w:rStyle w:val="Style14"/>
                <w:rFonts w:cs="Times New Roman"/>
                <w:b/>
                <w:vanish w:val="false"/>
                <w:color w:val="auto"/>
                <w:sz w:val="28"/>
                <w:szCs w:val="28"/>
                <w:u w:val="none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</w:t>
            </w:r>
            <w:r>
              <w:rPr>
                <w:rStyle w:val="Style14"/>
                <w:rFonts w:cs="Times New Roman"/>
                <w:b/>
                <w:color w:val="auto"/>
                <w:sz w:val="28"/>
                <w:szCs w:val="28"/>
                <w:u w:val="none"/>
                <w:lang w:val="ru-RU"/>
              </w:rPr>
              <w:t>ком</w:t>
            </w:r>
            <w:r>
              <w:rPr>
                <w:rStyle w:val="Style14"/>
                <w:rFonts w:cs="Times New Roman"/>
                <w:b/>
                <w:color w:val="auto"/>
                <w:sz w:val="28"/>
                <w:szCs w:val="28"/>
                <w:u w:val="none"/>
              </w:rPr>
              <w:t xml:space="preserve">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b/>
                <w:vanish w:val="false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新細明體" w:cs="Times New Roman" w:eastAsiaTheme="minorEastAsia"/>
              <w:b/>
              <w:sz w:val="28"/>
              <w:szCs w:val="28"/>
            </w:rPr>
          </w:pPr>
          <w:r>
            <w:rPr>
              <w:rFonts w:cs="Times New Roman"/>
              <w:b/>
              <w:color w:val="auto"/>
              <w:sz w:val="28"/>
              <w:szCs w:val="28"/>
              <w:u w:val="none"/>
            </w:rPr>
            <w:t xml:space="preserve">1.5. </w:t>
          </w:r>
          <w:hyperlink w:anchor="_Toc19137244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_Toc191372448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b/>
                <w:vanish w:val="false"/>
                <w:sz w:val="28"/>
                <w:szCs w:val="28"/>
              </w:rPr>
              <w:t>Иные требования и сведения общего характера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69" w:leader="dot"/>
            </w:tabs>
            <w:rPr>
              <w:rFonts w:eastAsia="新細明體" w:cs="Times New Roman" w:eastAsiaTheme="minorEastAsia"/>
              <w:bCs w:val="false"/>
              <w:sz w:val="28"/>
              <w:szCs w:val="28"/>
            </w:rPr>
          </w:pPr>
          <w:hyperlink w:anchor="_Toc191372449">
            <w:r>
              <w:rPr>
                <w:webHidden/>
                <w:rStyle w:val="Style14"/>
                <w:rFonts w:eastAsia="Calibri" w:cs="Times New Roman"/>
                <w:vanish w:val="false"/>
                <w:sz w:val="28"/>
                <w:szCs w:val="28"/>
              </w:rPr>
              <w:t>2.</w:t>
            </w:r>
            <w:r>
              <w:rPr>
                <w:rStyle w:val="Style14"/>
                <w:rFonts w:eastAsia="新細明體" w:cs="Times New Roman" w:eastAsiaTheme="minorEastAsia"/>
                <w:bCs w:val="false"/>
                <w:sz w:val="28"/>
                <w:szCs w:val="28"/>
              </w:rPr>
              <w:tab/>
            </w:r>
            <w:r>
              <w:rPr>
                <w:rStyle w:val="Style14"/>
                <w:rFonts w:eastAsia="Calibri" w:cs="Times New Roman"/>
                <w:sz w:val="28"/>
                <w:szCs w:val="28"/>
              </w:rPr>
              <w:t xml:space="preserve">Требования к </w:t>
            </w:r>
            <w:r>
              <w:rPr>
                <w:rStyle w:val="Style14"/>
                <w:rFonts w:eastAsia="Calibri" w:cs="Times New Roman"/>
                <w:sz w:val="28"/>
                <w:szCs w:val="28"/>
                <w:lang w:val="en-US"/>
              </w:rPr>
              <w:t>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新細明體" w:cs="Times New Roman" w:eastAsiaTheme="minorEastAsia"/>
              <w:b/>
              <w:sz w:val="28"/>
              <w:szCs w:val="28"/>
            </w:rPr>
          </w:pPr>
          <w:hyperlink w:anchor="_Toc191372450">
            <w:r>
              <w:rPr>
                <w:webHidden/>
                <w:rStyle w:val="Style14"/>
                <w:rFonts w:cs="Times New Roman"/>
                <w:b/>
                <w:iCs/>
                <w:vanish w:val="false"/>
                <w:sz w:val="28"/>
                <w:szCs w:val="28"/>
              </w:rPr>
              <w:t>2.1.</w:t>
            </w:r>
            <w:r>
              <w:rPr>
                <w:rStyle w:val="Style14"/>
                <w:rFonts w:cs="Times New Roman"/>
                <w:b/>
                <w:sz w:val="28"/>
                <w:szCs w:val="28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b/>
                <w:vanish w:val="false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120" w:leader="none"/>
              <w:tab w:val="right" w:pos="9769" w:leader="dot"/>
            </w:tabs>
            <w:rPr>
              <w:rFonts w:eastAsia="新細明體" w:cs="Times New Roman" w:eastAsiaTheme="minorEastAsia"/>
              <w:b/>
              <w:sz w:val="28"/>
              <w:szCs w:val="28"/>
            </w:rPr>
          </w:pPr>
          <w:r>
            <w:rPr>
              <w:rFonts w:cs="Times New Roman"/>
              <w:b/>
              <w:sz w:val="28"/>
              <w:szCs w:val="28"/>
              <w:lang w:val="en-US"/>
            </w:rPr>
            <w:t xml:space="preserve">    </w:t>
          </w:r>
          <w:hyperlink w:anchor="_Toc191372451">
            <w:r>
              <w:rPr>
                <w:webHidden/>
                <w:rStyle w:val="Style14"/>
                <w:rFonts w:eastAsia="Calibri" w:cs="Times New Roman"/>
                <w:b/>
                <w:vanish w:val="false"/>
                <w:sz w:val="28"/>
                <w:szCs w:val="28"/>
              </w:rPr>
              <w:t xml:space="preserve">2.1.1.Требования к видам и объемам </w:t>
            </w:r>
            <w:r>
              <w:rPr>
                <w:rStyle w:val="Style14"/>
                <w:rFonts w:eastAsia="Calibri" w:cs="Times New Roman"/>
                <w:b/>
                <w:sz w:val="28"/>
                <w:szCs w:val="28"/>
                <w:lang w:val="en-US"/>
              </w:rPr>
              <w:t>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b/>
                <w:vanish w:val="false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69" w:leader="dot"/>
            </w:tabs>
            <w:rPr>
              <w:rFonts w:eastAsia="新細明體" w:cs="Times New Roman" w:eastAsiaTheme="minorEastAsia"/>
              <w:bCs w:val="false"/>
              <w:sz w:val="28"/>
              <w:szCs w:val="28"/>
            </w:rPr>
          </w:pPr>
          <w:hyperlink w:anchor="_Toc191372452">
            <w:r>
              <w:rPr>
                <w:webHidden/>
                <w:rStyle w:val="Style14"/>
                <w:rFonts w:eastAsia="Calibri" w:cs="Times New Roman"/>
                <w:vanish w:val="false"/>
                <w:sz w:val="28"/>
                <w:szCs w:val="28"/>
              </w:rPr>
              <w:t xml:space="preserve">Таблица 2. Перечень и объем </w:t>
            </w:r>
            <w:r>
              <w:rPr>
                <w:rStyle w:val="Style14"/>
                <w:rFonts w:eastAsia="Calibri" w:cs="Times New Roman"/>
                <w:sz w:val="28"/>
                <w:szCs w:val="28"/>
                <w:lang w:val="en-US"/>
              </w:rPr>
              <w:t>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120" w:leader="none"/>
              <w:tab w:val="right" w:pos="9769" w:leader="dot"/>
            </w:tabs>
            <w:rPr>
              <w:rFonts w:eastAsia="新細明體" w:cs="Times New Roman" w:eastAsiaTheme="minorEastAsia"/>
              <w:b/>
              <w:sz w:val="28"/>
              <w:szCs w:val="28"/>
            </w:rPr>
          </w:pPr>
          <w:r>
            <w:rPr>
              <w:rFonts w:cs="Times New Roman"/>
              <w:b/>
              <w:sz w:val="28"/>
              <w:szCs w:val="28"/>
              <w:lang w:val="en-US"/>
            </w:rPr>
            <w:t xml:space="preserve">     </w:t>
          </w:r>
          <w:hyperlink w:anchor="_Toc191372453">
            <w:r>
              <w:rPr>
                <w:webHidden/>
                <w:rStyle w:val="Style14"/>
                <w:rFonts w:eastAsia="Calibri" w:cs="Times New Roman"/>
                <w:b/>
                <w:vanish w:val="false"/>
                <w:sz w:val="28"/>
                <w:szCs w:val="28"/>
              </w:rPr>
              <w:t xml:space="preserve">2.1.2.Требования к срокам </w:t>
            </w:r>
            <w:r>
              <w:rPr>
                <w:rStyle w:val="Style14"/>
                <w:rFonts w:eastAsia="Calibri" w:cs="Times New Roman"/>
                <w:b/>
                <w:sz w:val="28"/>
                <w:szCs w:val="28"/>
                <w:lang w:val="en-US"/>
              </w:rPr>
              <w:t>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b/>
                <w:vanish w:val="false"/>
                <w:sz w:val="28"/>
                <w:szCs w:val="28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69" w:leader="dot"/>
            </w:tabs>
            <w:rPr>
              <w:rFonts w:eastAsia="新細明體" w:cs="Times New Roman" w:eastAsiaTheme="minorEastAsia"/>
              <w:bCs w:val="false"/>
              <w:sz w:val="28"/>
              <w:szCs w:val="28"/>
            </w:rPr>
          </w:pPr>
          <w:hyperlink w:anchor="_Toc191372454">
            <w:r>
              <w:rPr>
                <w:webHidden/>
                <w:rStyle w:val="Style14"/>
                <w:rFonts w:eastAsia="Calibri" w:cs="Times New Roman"/>
                <w:vanish w:val="false"/>
                <w:sz w:val="28"/>
                <w:szCs w:val="28"/>
              </w:rPr>
              <w:t xml:space="preserve">Таблица 3. Требования по срокам </w:t>
            </w:r>
            <w:r>
              <w:rPr>
                <w:rStyle w:val="Style14"/>
                <w:rFonts w:eastAsia="Calibri" w:cs="Times New Roman"/>
                <w:sz w:val="28"/>
                <w:szCs w:val="28"/>
                <w:lang w:val="en-US"/>
              </w:rPr>
              <w:t>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8"/>
                <w:szCs w:val="28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>
              <w:rFonts w:eastAsia="新細明體" w:cs="Times New Roman" w:eastAsiaTheme="minorEastAsia"/>
              <w:b/>
              <w:sz w:val="28"/>
              <w:szCs w:val="28"/>
            </w:rPr>
          </w:pPr>
          <w:r>
            <w:rPr>
              <w:rFonts w:cs="Times New Roman"/>
              <w:b/>
              <w:sz w:val="28"/>
              <w:szCs w:val="28"/>
            </w:rPr>
            <w:t xml:space="preserve">         </w:t>
          </w:r>
          <w:hyperlink w:anchor="_Toc191372455">
            <w:r>
              <w:rPr>
                <w:webHidden/>
                <w:rStyle w:val="Style14"/>
                <w:rFonts w:cs="Times New Roman"/>
                <w:b/>
                <w:vanish w:val="false"/>
                <w:sz w:val="28"/>
                <w:szCs w:val="28"/>
                <w:lang w:val="ru-RU"/>
              </w:rPr>
              <w:t xml:space="preserve">2.2. </w:t>
            </w:r>
            <w:r>
              <w:rPr>
                <w:rStyle w:val="Style14"/>
                <w:rFonts w:cs="Times New Roman"/>
                <w:b/>
                <w:sz w:val="28"/>
                <w:szCs w:val="28"/>
              </w:rPr>
              <w:t xml:space="preserve">Требования к </w:t>
            </w:r>
            <w:r>
              <w:rPr>
                <w:rStyle w:val="Style14"/>
                <w:rFonts w:cs="Times New Roman"/>
                <w:b/>
                <w:sz w:val="28"/>
                <w:szCs w:val="28"/>
                <w:lang w:val="ru-RU"/>
              </w:rPr>
              <w:t xml:space="preserve">качеству </w:t>
            </w:r>
            <w:r>
              <w:rPr>
                <w:rStyle w:val="Style14"/>
                <w:rFonts w:cs="Times New Roman"/>
                <w:b/>
                <w:sz w:val="28"/>
                <w:szCs w:val="28"/>
              </w:rPr>
              <w:t>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b/>
                <w:vanish w:val="false"/>
                <w:sz w:val="28"/>
                <w:szCs w:val="2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69" w:leader="dot"/>
            </w:tabs>
            <w:rPr>
              <w:rFonts w:eastAsia="新細明體" w:cs="Times New Roman" w:eastAsiaTheme="minorEastAsia"/>
              <w:bCs w:val="false"/>
              <w:sz w:val="28"/>
              <w:szCs w:val="28"/>
            </w:rPr>
          </w:pPr>
          <w:hyperlink w:anchor="_Toc191372456">
            <w:r>
              <w:rPr>
                <w:webHidden/>
                <w:rStyle w:val="Style14"/>
                <w:rFonts w:eastAsia="Calibri" w:cs="Times New Roman"/>
                <w:vanish w:val="false"/>
                <w:sz w:val="28"/>
                <w:szCs w:val="28"/>
              </w:rPr>
              <w:t>Таблица 4. Требования к</w:t>
            </w:r>
            <w:bookmarkStart w:id="0" w:name="_GoBack"/>
            <w:bookmarkEnd w:id="0"/>
            <w:r>
              <w:rPr>
                <w:rStyle w:val="Style14"/>
                <w:rFonts w:eastAsia="Calibri" w:cs="Times New Roman"/>
                <w:sz w:val="28"/>
                <w:szCs w:val="28"/>
              </w:rPr>
              <w:t xml:space="preserve"> качеству </w:t>
            </w:r>
            <w:r>
              <w:rPr>
                <w:rStyle w:val="Style14"/>
                <w:rFonts w:eastAsia="Calibri" w:cs="Times New Roman"/>
                <w:sz w:val="28"/>
                <w:szCs w:val="28"/>
                <w:lang w:val="en-US"/>
              </w:rPr>
              <w:t>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8"/>
                <w:szCs w:val="2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69" w:leader="dot"/>
            </w:tabs>
            <w:rPr>
              <w:rFonts w:eastAsia="新細明體" w:cs="Times New Roman" w:eastAsiaTheme="minorEastAsia"/>
              <w:bCs w:val="false"/>
              <w:sz w:val="28"/>
              <w:szCs w:val="28"/>
            </w:rPr>
          </w:pPr>
          <w:hyperlink w:anchor="_Toc191372463">
            <w:r>
              <w:rPr>
                <w:webHidden/>
                <w:rStyle w:val="Style14"/>
                <w:rFonts w:eastAsia="Calibri" w:cs="Times New Roman"/>
                <w:vanish w:val="false"/>
                <w:sz w:val="28"/>
                <w:szCs w:val="28"/>
                <w:lang w:val="x-none" w:eastAsia="x-none"/>
              </w:rPr>
              <w:t>3</w:t>
            </w:r>
            <w:r>
              <w:rPr>
                <w:rStyle w:val="Style14"/>
                <w:rFonts w:eastAsia="Calibri" w:cs="Times New Roman"/>
                <w:i/>
                <w:sz w:val="28"/>
                <w:szCs w:val="28"/>
                <w:lang w:val="x-none" w:eastAsia="x-none"/>
              </w:rPr>
              <w:t xml:space="preserve">.  </w:t>
            </w:r>
            <w:r>
              <w:rPr>
                <w:rStyle w:val="Style14"/>
                <w:rFonts w:eastAsia="Calibri" w:cs="Times New Roman"/>
                <w:sz w:val="28"/>
                <w:szCs w:val="28"/>
                <w:lang w:val="x-none" w:eastAsia="x-none"/>
              </w:rPr>
              <w:t>Требования к документации по ценообразованию на этапе закупки.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8"/>
                <w:szCs w:val="28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69" w:leader="dot"/>
            </w:tabs>
            <w:rPr>
              <w:rFonts w:eastAsia="新細明體" w:cs="Times New Roman" w:eastAsiaTheme="minorEastAsia"/>
              <w:bCs w:val="false"/>
              <w:sz w:val="28"/>
              <w:szCs w:val="28"/>
            </w:rPr>
          </w:pPr>
          <w:hyperlink w:anchor="_Toc191372464">
            <w:r>
              <w:rPr>
                <w:webHidden/>
                <w:rStyle w:val="Style14"/>
                <w:rFonts w:eastAsia="Calibri" w:cs="Times New Roman"/>
                <w:vanish w:val="false"/>
                <w:sz w:val="28"/>
                <w:szCs w:val="28"/>
                <w:lang w:eastAsia="x-none"/>
              </w:rPr>
              <w:t>4</w:t>
            </w:r>
            <w:r>
              <w:rPr>
                <w:rStyle w:val="Style14"/>
                <w:rFonts w:eastAsia="Calibri" w:cs="Times New Roman"/>
                <w:i/>
                <w:sz w:val="28"/>
                <w:szCs w:val="28"/>
                <w:lang w:val="x-none" w:eastAsia="x-none"/>
              </w:rPr>
              <w:t xml:space="preserve">.  </w:t>
            </w:r>
            <w:r>
              <w:rPr>
                <w:rStyle w:val="Style14"/>
                <w:rFonts w:eastAsia="Calibri" w:cs="Times New Roman"/>
                <w:sz w:val="28"/>
                <w:szCs w:val="28"/>
                <w:lang w:val="x-none" w:eastAsia="x-none"/>
              </w:rPr>
              <w:t>Требования к документации по ценообразованию на этапе заключения (исполнения) договора.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_Toc191372464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8"/>
                <w:szCs w:val="28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8"/>
              <w:szCs w:val="28"/>
              <w:vanish w:val="false"/>
              <w:rFonts w:cs="Times New Roman"/>
            </w:rPr>
            <w:fldChar w:fldCharType="end"/>
          </w:r>
        </w:p>
      </w:sdtContent>
    </w:sdt>
    <w:p>
      <w:pPr>
        <w:pStyle w:val="TOC3"/>
        <w:ind w:left="0" w:hanging="0"/>
        <w:rPr>
          <w:rFonts w:ascii="Calibri" w:hAnsi="Calibri" w:eastAsia="新細明體" w:cs="Arial" w:asciiTheme="minorHAnsi" w:cstheme="minorBidi" w:eastAsiaTheme="minorEastAsia" w:hAnsiTheme="minorHAnsi"/>
          <w:b/>
          <w:sz w:val="28"/>
          <w:szCs w:val="28"/>
        </w:rPr>
      </w:pPr>
      <w:r>
        <w:rPr>
          <w:rStyle w:val="Style14"/>
          <w:rFonts w:cs="Times New Roman"/>
          <w:b/>
          <w:sz w:val="28"/>
          <w:szCs w:val="28"/>
        </w:rPr>
        <w:t xml:space="preserve">5. </w:t>
      </w:r>
      <w:r>
        <w:rPr>
          <w:rStyle w:val="Style14"/>
          <w:rFonts w:cs="Times New Roman"/>
          <w:b/>
          <w:sz w:val="28"/>
          <w:szCs w:val="28"/>
          <w:lang w:val="en-US"/>
        </w:rPr>
        <w:t>Приложения</w:t>
      </w:r>
      <w:r>
        <w:rPr>
          <w:rStyle w:val="Style14"/>
          <w:rFonts w:cs="Times New Roman"/>
          <w:b/>
          <w:sz w:val="28"/>
          <w:szCs w:val="28"/>
        </w:rPr>
        <w:tab/>
        <w:t>1</w:t>
      </w:r>
      <w:r>
        <w:rPr>
          <w:rStyle w:val="Style14"/>
          <w:rFonts w:cs="Times New Roman"/>
          <w:b/>
          <w:sz w:val="28"/>
          <w:szCs w:val="28"/>
          <w:lang w:val="en-US"/>
        </w:rPr>
        <w:t>1</w:t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rPr>
          <w:caps/>
        </w:rPr>
      </w:pPr>
      <w:bookmarkStart w:id="1" w:name="_Toc51339692"/>
      <w:bookmarkStart w:id="2" w:name="_Toc191372442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sz w:val="28"/>
          <w:szCs w:val="28"/>
        </w:rPr>
      </w:pPr>
      <w:bookmarkStart w:id="3" w:name="_Toc46743506"/>
      <w:bookmarkStart w:id="4" w:name="_Toc191372443"/>
      <w:r>
        <w:rPr>
          <w:sz w:val="28"/>
          <w:szCs w:val="28"/>
        </w:rPr>
        <w:t xml:space="preserve">Наименование </w:t>
      </w:r>
      <w:bookmarkEnd w:id="3"/>
      <w:bookmarkEnd w:id="4"/>
      <w:r>
        <w:rPr>
          <w:sz w:val="28"/>
          <w:szCs w:val="28"/>
          <w:lang w:val="en-US"/>
        </w:rPr>
        <w:t>услуг</w:t>
      </w:r>
    </w:p>
    <w:p>
      <w:pPr>
        <w:pStyle w:val="Normal"/>
        <w:ind w:firstLine="709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ОКПД 2: 33.12.29.900 Оказание услуг по ремонту сервомоторов гидроцилиндров №1, №2, №3 в заводских условиях для нужд</w:t>
      </w:r>
      <w:r>
        <w:rPr>
          <w:rFonts w:eastAsia="Calibri"/>
          <w:shd w:fill="FFFF00" w:val="clear"/>
          <w:lang w:eastAsia="x-none"/>
        </w:rPr>
        <w:t xml:space="preserve"> </w:t>
      </w:r>
      <w:r>
        <w:rPr>
          <w:rFonts w:eastAsia="Calibri"/>
          <w:shd w:fill="auto" w:val="clear"/>
          <w:lang w:eastAsia="x-none"/>
        </w:rPr>
        <w:t>Производственного участка Саяно-Шушенского филиала АО "Гидроремонт-ВКК" в г.Заволжье</w:t>
      </w:r>
      <w:bookmarkStart w:id="5" w:name="_Toc46743507"/>
      <w:bookmarkStart w:id="6" w:name="_Toc191372444"/>
    </w:p>
    <w:p>
      <w:pPr>
        <w:pStyle w:val="ListParagraph"/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bookmarkEnd w:id="5"/>
      <w:bookmarkEnd w:id="6"/>
      <w:r>
        <w:rPr>
          <w:b/>
          <w:sz w:val="28"/>
          <w:szCs w:val="28"/>
          <w:lang w:val="en-US"/>
        </w:rPr>
        <w:t>оказания услуг</w:t>
      </w:r>
      <w:r>
        <w:rPr>
          <w:b/>
          <w:sz w:val="28"/>
          <w:szCs w:val="28"/>
        </w:rPr>
        <w:t xml:space="preserve"> </w:t>
      </w:r>
      <w:r>
        <w:rPr>
          <w:rStyle w:val="Style8"/>
          <w:b w:val="false"/>
          <w:i w:val="false"/>
          <w:sz w:val="28"/>
          <w:szCs w:val="28"/>
        </w:rPr>
        <w:t xml:space="preserve"> </w:t>
      </w:r>
    </w:p>
    <w:p>
      <w:pPr>
        <w:pStyle w:val="Normal"/>
        <w:spacing w:lineRule="auto" w:line="288"/>
        <w:ind w:firstLine="709"/>
        <w:jc w:val="both"/>
        <w:textAlignment w:val="baseline"/>
        <w:rPr/>
      </w:pPr>
      <w:r>
        <w:rPr>
          <w:shd w:fill="FFFFFF" w:val="clear"/>
        </w:rPr>
        <w:t>Исполнение доходного договора, заключенного между ПАО «РусГидро» и АО «Гидроремонт-ВКК»:</w:t>
      </w:r>
      <w:bookmarkStart w:id="7" w:name="_Toc46743508"/>
      <w:bookmarkStart w:id="8" w:name="_Toc191372445"/>
    </w:p>
    <w:p>
      <w:pPr>
        <w:pStyle w:val="Normal"/>
        <w:spacing w:lineRule="auto" w:line="288"/>
        <w:jc w:val="both"/>
        <w:textAlignment w:val="baseline"/>
        <w:rPr>
          <w:kern w:val="2"/>
        </w:rPr>
      </w:pPr>
      <w:r>
        <w:rPr>
          <w:kern w:val="2"/>
        </w:rPr>
        <w:t>-Договор подряда № 1240-129-2021 от 12.07.2021 г. «Выполнение строительно-монтажных м пусконаладочных работ по замене гидроагрегатов ст. № 1,4,7 Филиала ПАО «РусГидро»-«Нижегородская ГЭС»».</w:t>
      </w:r>
    </w:p>
    <w:p>
      <w:pPr>
        <w:pStyle w:val="ListParagraph"/>
        <w:numPr>
          <w:ilvl w:val="1"/>
          <w:numId w:val="3"/>
        </w:numPr>
        <w:spacing w:lineRule="auto" w:line="288"/>
        <w:jc w:val="both"/>
        <w:textAlignment w:val="baseline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Существующее положение</w:t>
      </w:r>
      <w:bookmarkEnd w:id="7"/>
      <w:bookmarkEnd w:id="8"/>
      <w:r>
        <w:rPr>
          <w:b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88"/>
        <w:ind w:firstLine="709"/>
        <w:jc w:val="both"/>
        <w:textAlignment w:val="baseline"/>
        <w:rPr>
          <w:kern w:val="2"/>
        </w:rPr>
      </w:pPr>
      <w:r>
        <w:rPr/>
        <w:t xml:space="preserve">Сервомоторы (гидроцилиндры) </w:t>
      </w:r>
      <w:r>
        <w:rPr>
          <w:kern w:val="2"/>
        </w:rPr>
        <w:t xml:space="preserve">осуществляют подъем аварийно-ремонтных затворов, поддерживая их в поднятом состоянии, готовыми к аварийному сбросу, а также «сброс» щитов с необходимой скоростью и торможением щита при посадке его на порог. </w:t>
      </w:r>
      <w:r>
        <w:rPr/>
        <w:t>Гидроцилиндр</w:t>
      </w:r>
      <w:r>
        <w:rPr>
          <w:kern w:val="2"/>
        </w:rPr>
        <w:t>ы получают питание при подъеме затвора от маслонасосной установки, обеспечивающей подвод масла давлением 100 кгс/см</w:t>
      </w:r>
      <w:r>
        <w:rPr>
          <w:kern w:val="2"/>
          <w:vertAlign w:val="superscript"/>
        </w:rPr>
        <w:t>2</w:t>
      </w:r>
      <w:r>
        <w:rPr>
          <w:kern w:val="2"/>
        </w:rPr>
        <w:t>. Опускание аварийно-ремонтных затворов происходит под давлением собственного веса. Основные характеристики:</w:t>
      </w:r>
    </w:p>
    <w:p>
      <w:pPr>
        <w:pStyle w:val="Normal"/>
        <w:widowControl w:val="false"/>
        <w:spacing w:lineRule="auto" w:line="288"/>
        <w:textAlignment w:val="baseline"/>
        <w:rPr>
          <w:kern w:val="2"/>
        </w:rPr>
      </w:pPr>
      <w:r>
        <w:rPr>
          <w:kern w:val="2"/>
        </w:rPr>
        <w:t>Грузоподъемность сервомотора – 75т;</w:t>
      </w:r>
    </w:p>
    <w:p>
      <w:pPr>
        <w:pStyle w:val="Normal"/>
        <w:widowControl w:val="false"/>
        <w:spacing w:lineRule="auto" w:line="288"/>
        <w:textAlignment w:val="baseline"/>
        <w:rPr>
          <w:kern w:val="2"/>
        </w:rPr>
      </w:pPr>
      <w:r>
        <w:rPr>
          <w:kern w:val="2"/>
        </w:rPr>
        <w:t>Тормозное усилие сервомотора-100 тн;</w:t>
      </w:r>
    </w:p>
    <w:p>
      <w:pPr>
        <w:pStyle w:val="Normal"/>
        <w:widowControl w:val="false"/>
        <w:spacing w:lineRule="auto" w:line="288"/>
        <w:textAlignment w:val="baseline"/>
        <w:rPr>
          <w:kern w:val="2"/>
        </w:rPr>
      </w:pPr>
      <w:r>
        <w:rPr>
          <w:kern w:val="2"/>
        </w:rPr>
        <w:t>Диаметр поршня сервомотора - 370 мм;</w:t>
      </w:r>
    </w:p>
    <w:p>
      <w:pPr>
        <w:pStyle w:val="Normal"/>
        <w:widowControl w:val="false"/>
        <w:spacing w:lineRule="auto" w:line="288"/>
        <w:textAlignment w:val="baseline"/>
        <w:rPr>
          <w:kern w:val="2"/>
        </w:rPr>
      </w:pPr>
      <w:r>
        <w:rPr>
          <w:kern w:val="2"/>
        </w:rPr>
        <w:t>Диаметр тяги сервомотора – 140 мм;</w:t>
      </w:r>
    </w:p>
    <w:p>
      <w:pPr>
        <w:pStyle w:val="Normal"/>
        <w:widowControl w:val="false"/>
        <w:spacing w:lineRule="auto" w:line="288"/>
        <w:textAlignment w:val="baseline"/>
        <w:rPr>
          <w:kern w:val="2"/>
        </w:rPr>
      </w:pPr>
      <w:r>
        <w:rPr>
          <w:kern w:val="2"/>
        </w:rPr>
        <w:t>Полный ход поршня сервомотора – 6900 мм;</w:t>
      </w:r>
    </w:p>
    <w:p>
      <w:pPr>
        <w:pStyle w:val="Normal"/>
        <w:widowControl w:val="false"/>
        <w:spacing w:lineRule="auto" w:line="288"/>
        <w:textAlignment w:val="baseline"/>
        <w:rPr>
          <w:kern w:val="2"/>
        </w:rPr>
      </w:pPr>
      <w:r>
        <w:rPr>
          <w:kern w:val="2"/>
        </w:rPr>
        <w:t>Рабочий объем сервомотора – 0,63 м</w:t>
      </w:r>
      <w:r>
        <w:rPr>
          <w:kern w:val="2"/>
          <w:vertAlign w:val="superscript"/>
        </w:rPr>
        <w:t>3</w:t>
      </w:r>
      <w:r>
        <w:rPr>
          <w:kern w:val="2"/>
        </w:rPr>
        <w:t>;</w:t>
      </w:r>
    </w:p>
    <w:p>
      <w:pPr>
        <w:pStyle w:val="Normal"/>
        <w:widowControl w:val="false"/>
        <w:spacing w:lineRule="auto" w:line="288"/>
        <w:textAlignment w:val="baseline"/>
        <w:rPr>
          <w:kern w:val="2"/>
        </w:rPr>
      </w:pPr>
      <w:r>
        <w:rPr>
          <w:kern w:val="2"/>
        </w:rPr>
        <w:t>Максимальное давление в цилиндре сервомотора при торможении – 132 кг/см</w:t>
      </w:r>
      <w:r>
        <w:rPr>
          <w:kern w:val="2"/>
          <w:vertAlign w:val="superscript"/>
        </w:rPr>
        <w:t>2</w:t>
      </w:r>
      <w:r>
        <w:rPr>
          <w:kern w:val="2"/>
        </w:rPr>
        <w:t>;</w:t>
      </w:r>
    </w:p>
    <w:p>
      <w:pPr>
        <w:pStyle w:val="Normal"/>
        <w:widowControl w:val="false"/>
        <w:spacing w:lineRule="auto" w:line="288"/>
        <w:textAlignment w:val="baseline"/>
        <w:rPr>
          <w:kern w:val="2"/>
        </w:rPr>
      </w:pPr>
      <w:r>
        <w:rPr>
          <w:kern w:val="2"/>
        </w:rPr>
        <w:t>Рабочая среда – турбинное масло ТП30</w:t>
      </w:r>
    </w:p>
    <w:p>
      <w:pPr>
        <w:pStyle w:val="Heading1"/>
        <w:numPr>
          <w:ilvl w:val="0"/>
          <w:numId w:val="0"/>
        </w:numPr>
        <w:ind w:left="0" w:hanging="0"/>
        <w:rPr>
          <w:lang w:val="en-US"/>
        </w:rPr>
      </w:pPr>
      <w:bookmarkStart w:id="9" w:name="_Toc191372446"/>
      <w:r>
        <w:rPr/>
        <w:t xml:space="preserve">Таблица 1. Перечень объектов </w:t>
      </w:r>
      <w:bookmarkEnd w:id="9"/>
      <w:r>
        <w:rPr>
          <w:lang w:val="en-US"/>
        </w:rPr>
        <w:t>Заказчика</w:t>
      </w:r>
    </w:p>
    <w:tbl>
      <w:tblPr>
        <w:tblW w:w="10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3"/>
        <w:gridCol w:w="2580"/>
        <w:gridCol w:w="2272"/>
        <w:gridCol w:w="2123"/>
        <w:gridCol w:w="2271"/>
      </w:tblGrid>
      <w:tr>
        <w:trPr/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1835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Ремонт сервомоторов (</w:t>
            </w:r>
            <w:r>
              <w:rPr>
                <w:sz w:val="24"/>
                <w:szCs w:val="24"/>
              </w:rPr>
              <w:t>гидроцилиндров)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1, №2, №3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заводских условиях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Филиал ПАО «РусГидро» - «Нижегородская ГЭС» </w:t>
            </w:r>
            <w:r>
              <w:rPr>
                <w:sz w:val="24"/>
                <w:szCs w:val="24"/>
              </w:rPr>
              <w:t>606520, Городецкий р-н, г. Заволжье,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Привокзальная, д.14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Гидрогенератор </w:t>
            </w:r>
            <w:r>
              <w:rPr>
                <w:sz w:val="24"/>
                <w:szCs w:val="24"/>
                <w:shd w:fill="FFFFFF" w:val="clear"/>
              </w:rPr>
              <w:t>№ 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Эксплуатирующая организация: </w:t>
            </w:r>
            <w:r>
              <w:rPr>
                <w:bCs/>
                <w:sz w:val="24"/>
                <w:szCs w:val="24"/>
              </w:rPr>
              <w:t>Филиал ПАО «РусГидро» - «Нижегородская ГЭС»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Indent"/>
        <w:ind w:left="0" w:hanging="0"/>
        <w:jc w:val="both"/>
        <w:rPr>
          <w:b/>
        </w:rPr>
      </w:pPr>
      <w:r>
        <w:rPr>
          <w:rFonts w:eastAsia="TimesNewRomanPSMT"/>
        </w:rPr>
        <w:t xml:space="preserve">*  </w:t>
      </w:r>
      <w:r>
        <w:rPr/>
        <w:t>Услуги должны оказываться на оборудованных специальной оснасткой и приспособлениями производственных площадях Исполнителя.</w:t>
      </w:r>
    </w:p>
    <w:p>
      <w:pPr>
        <w:pStyle w:val="Heading4"/>
        <w:numPr>
          <w:ilvl w:val="0"/>
        </w:numPr>
        <w:tabs>
          <w:tab w:val="clear" w:pos="0"/>
        </w:tabs>
        <w:ind w:left="432" w:hanging="432"/>
        <w:jc w:val="both"/>
        <w:rPr>
          <w:sz w:val="28"/>
          <w:szCs w:val="28"/>
        </w:rPr>
      </w:pPr>
      <w:bookmarkStart w:id="10" w:name="_Toc191372447"/>
      <w:r>
        <w:rPr>
          <w:sz w:val="28"/>
          <w:szCs w:val="28"/>
          <w:lang w:val="ru-RU"/>
        </w:rPr>
        <w:t xml:space="preserve">1.4. </w:t>
      </w:r>
      <w:r>
        <w:rPr>
          <w:sz w:val="28"/>
          <w:szCs w:val="28"/>
        </w:rPr>
        <w:t xml:space="preserve">Информация в отношении исполнения договора, </w:t>
      </w:r>
      <w:bookmarkStart w:id="11" w:name="_Hlk46492347"/>
      <w:r>
        <w:rPr>
          <w:sz w:val="28"/>
          <w:szCs w:val="28"/>
        </w:rPr>
        <w:t xml:space="preserve">которая должна быть учтена при подготовке заявки </w:t>
      </w:r>
      <w:bookmarkEnd w:id="11"/>
      <w:r>
        <w:rPr>
          <w:sz w:val="28"/>
          <w:szCs w:val="28"/>
        </w:rPr>
        <w:t xml:space="preserve">(в том числе перечень ресурсов, </w:t>
      </w:r>
      <w:r>
        <w:rPr>
          <w:sz w:val="28"/>
          <w:szCs w:val="28"/>
          <w:lang w:val="ru-RU"/>
        </w:rPr>
        <w:t xml:space="preserve">услуг </w:t>
      </w:r>
      <w:r>
        <w:rPr>
          <w:sz w:val="28"/>
          <w:szCs w:val="28"/>
        </w:rPr>
        <w:t xml:space="preserve">и документов, предоставляемых </w:t>
      </w:r>
      <w:r>
        <w:rPr>
          <w:sz w:val="28"/>
          <w:szCs w:val="28"/>
          <w:lang w:val="ru-RU"/>
        </w:rPr>
        <w:t>Заказчиком</w:t>
      </w:r>
      <w:r>
        <w:rPr>
          <w:sz w:val="28"/>
          <w:szCs w:val="28"/>
        </w:rPr>
        <w:t xml:space="preserve"> на этапе исполнения договора)</w:t>
      </w:r>
      <w:bookmarkEnd w:id="10"/>
      <w:r>
        <w:rPr>
          <w:sz w:val="28"/>
          <w:szCs w:val="28"/>
          <w:lang w:val="ru-RU"/>
        </w:rPr>
        <w:t xml:space="preserve"> </w:t>
      </w:r>
      <w:r>
        <w:rPr>
          <w:rStyle w:val="Style8"/>
          <w:b/>
          <w:i w:val="false"/>
          <w:sz w:val="28"/>
          <w:szCs w:val="28"/>
          <w:lang w:val="ru-RU"/>
        </w:rPr>
        <w:t xml:space="preserve"> </w:t>
      </w:r>
    </w:p>
    <w:p>
      <w:pPr>
        <w:pStyle w:val="Normal"/>
        <w:spacing w:before="0" w:after="120"/>
        <w:ind w:firstLine="709"/>
        <w:rPr>
          <w:iCs/>
        </w:rPr>
      </w:pPr>
      <w:bookmarkStart w:id="12" w:name="_Hlk48209761"/>
      <w:bookmarkEnd w:id="12"/>
      <w:r>
        <w:rPr>
          <w:iCs/>
        </w:rPr>
        <w:t xml:space="preserve">Заказчик предоставит Исполнителю: </w:t>
      </w:r>
    </w:p>
    <w:p>
      <w:pPr>
        <w:pStyle w:val="Normal"/>
        <w:spacing w:before="0" w:after="120"/>
        <w:rPr>
          <w:iCs/>
        </w:rPr>
      </w:pPr>
      <w:r>
        <w:rPr/>
        <w:t>1.Комплект чертежей</w:t>
      </w:r>
    </w:p>
    <w:p>
      <w:pPr>
        <w:pStyle w:val="ListParagraph"/>
        <w:spacing w:before="0" w:after="120"/>
        <w:ind w:left="0" w:hanging="0"/>
        <w:contextualSpacing/>
        <w:rPr>
          <w:sz w:val="28"/>
          <w:szCs w:val="28"/>
        </w:rPr>
      </w:pPr>
      <w:r>
        <w:rPr>
          <w:sz w:val="28"/>
          <w:szCs w:val="28"/>
        </w:rPr>
        <w:t>2.Гидроцилиндр Ø370×Ø140×6900 (сервомотор) – 3 шт.</w:t>
      </w:r>
    </w:p>
    <w:p>
      <w:pPr>
        <w:pStyle w:val="Normal"/>
        <w:jc w:val="both"/>
        <w:rPr>
          <w:rStyle w:val="Style8"/>
          <w:b w:val="false"/>
          <w:i w:val="false"/>
          <w:i w:val="false"/>
          <w:shd w:fill="auto" w:val="clear"/>
        </w:rPr>
      </w:pPr>
      <w:r>
        <w:rPr/>
        <w:t>Доставка гидроцилиндров к месту ремонта и обратно осуществляется Исполнителем.</w:t>
      </w:r>
    </w:p>
    <w:p>
      <w:pPr>
        <w:pStyle w:val="ListParagraph"/>
        <w:keepNext w:val="true"/>
        <w:numPr>
          <w:ilvl w:val="1"/>
          <w:numId w:val="3"/>
        </w:numPr>
        <w:spacing w:before="120" w:after="60"/>
        <w:contextualSpacing w:val="false"/>
        <w:outlineLvl w:val="0"/>
        <w:rPr>
          <w:b/>
          <w:vanish/>
          <w:sz w:val="28"/>
          <w:szCs w:val="28"/>
          <w:lang w:val="x-none" w:eastAsia="x-none"/>
        </w:rPr>
      </w:pPr>
      <w:r>
        <w:rPr>
          <w:b/>
          <w:vanish/>
          <w:sz w:val="28"/>
          <w:szCs w:val="28"/>
          <w:lang w:val="x-none" w:eastAsia="x-none"/>
        </w:rPr>
      </w:r>
      <w:bookmarkStart w:id="13" w:name="_Toc46743510"/>
      <w:bookmarkStart w:id="14" w:name="_Toc50125126"/>
      <w:bookmarkStart w:id="15" w:name="_Hlk48209761_Копия_1"/>
      <w:bookmarkStart w:id="16" w:name="_Toc46743510"/>
      <w:bookmarkStart w:id="17" w:name="_Toc50125126"/>
      <w:bookmarkStart w:id="18" w:name="_Hlk48209761_Копия_1"/>
      <w:bookmarkEnd w:id="17"/>
      <w:bookmarkEnd w:id="18"/>
    </w:p>
    <w:p>
      <w:pPr>
        <w:pStyle w:val="Heading4"/>
        <w:numPr>
          <w:ilvl w:val="1"/>
          <w:numId w:val="3"/>
        </w:numPr>
        <w:rPr>
          <w:sz w:val="28"/>
          <w:szCs w:val="28"/>
        </w:rPr>
      </w:pPr>
      <w:bookmarkStart w:id="19" w:name="_Toc191372448"/>
      <w:r>
        <w:rPr>
          <w:sz w:val="28"/>
          <w:szCs w:val="28"/>
        </w:rPr>
        <w:t>Иные требования и сведения общего характера</w:t>
      </w:r>
      <w:bookmarkEnd w:id="19"/>
      <w:r>
        <w:rPr>
          <w:sz w:val="28"/>
          <w:szCs w:val="28"/>
          <w:lang w:val="ru-RU"/>
        </w:rPr>
        <w:t xml:space="preserve"> </w:t>
      </w:r>
      <w:r>
        <w:rPr>
          <w:rStyle w:val="Style8"/>
          <w:b/>
          <w:i w:val="false"/>
          <w:sz w:val="28"/>
          <w:szCs w:val="28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ind w:firstLine="709"/>
        <w:jc w:val="both"/>
        <w:rPr>
          <w:rStyle w:val="Style8"/>
          <w:rFonts w:eastAsia="TimesNewRomanPSMT"/>
          <w:b w:val="false"/>
          <w:i w:val="false"/>
          <w:i w:val="false"/>
          <w:shd w:fill="auto" w:val="clear"/>
        </w:rPr>
      </w:pPr>
      <w:r>
        <w:rPr>
          <w:rFonts w:eastAsia="TimesNewRomanPSMT"/>
        </w:rPr>
        <w:t>Заказчик ознакомляет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20" w:name="_Toc51339693"/>
      <w:bookmarkStart w:id="21" w:name="_Toc191372449"/>
      <w:r>
        <w:rPr/>
        <w:t xml:space="preserve">Требования к </w:t>
      </w:r>
      <w:bookmarkEnd w:id="20"/>
      <w:bookmarkEnd w:id="21"/>
      <w:r>
        <w:rPr>
          <w:lang w:val="en-US"/>
        </w:rPr>
        <w:t>оказанию услуг</w:t>
      </w:r>
    </w:p>
    <w:p>
      <w:pPr>
        <w:pStyle w:val="Heading4"/>
        <w:numPr>
          <w:ilvl w:val="1"/>
          <w:numId w:val="3"/>
        </w:numPr>
        <w:rPr/>
      </w:pPr>
      <w:bookmarkStart w:id="22" w:name="_Toc191372450"/>
      <w:r>
        <w:rPr/>
        <w:t xml:space="preserve">Требования к объемам и срокам </w:t>
      </w:r>
      <w:bookmarkEnd w:id="22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3" w:name="_Toc191372451"/>
      <w:r>
        <w:rPr/>
        <w:t>Требования к видам и объемам</w:t>
      </w:r>
      <w:bookmarkEnd w:id="23"/>
      <w:r>
        <w:rPr>
          <w:lang w:val="ru-RU"/>
        </w:rPr>
        <w:t xml:space="preserve"> услуг</w:t>
      </w:r>
    </w:p>
    <w:p>
      <w:pPr>
        <w:pStyle w:val="Heading1"/>
        <w:numPr>
          <w:ilvl w:val="0"/>
          <w:numId w:val="0"/>
        </w:numPr>
        <w:ind w:left="0" w:hanging="0"/>
        <w:rPr>
          <w:lang w:val="en-US"/>
        </w:rPr>
      </w:pPr>
      <w:bookmarkStart w:id="24" w:name="_Toc191372452"/>
      <w:bookmarkStart w:id="25" w:name="_Toc51339695"/>
      <w:r>
        <w:rPr/>
        <w:t xml:space="preserve">Таблица 2. Перечень </w:t>
      </w:r>
      <w:bookmarkEnd w:id="25"/>
      <w:r>
        <w:rPr/>
        <w:t xml:space="preserve">и объем </w:t>
      </w:r>
      <w:bookmarkEnd w:id="24"/>
      <w:r>
        <w:rPr>
          <w:lang w:val="en-US"/>
        </w:rPr>
        <w:t>услуг</w:t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0"/>
        <w:gridCol w:w="7090"/>
        <w:gridCol w:w="1415"/>
        <w:gridCol w:w="850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Наименование услуг / этапа </w:t>
            </w:r>
            <w:r>
              <w:rPr>
                <w:sz w:val="24"/>
                <w:szCs w:val="24"/>
                <w:lang w:val="en-US"/>
              </w:rPr>
              <w:t>услуг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4" w:right="12" w:hanging="280"/>
              <w:jc w:val="right"/>
              <w:rPr/>
            </w:pPr>
            <w:r>
              <w:rPr/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Ремонт сервомоторов (</w:t>
            </w:r>
            <w:r>
              <w:rPr>
                <w:sz w:val="24"/>
                <w:szCs w:val="24"/>
              </w:rPr>
              <w:t>гидроцилиндров) №1, №2, №3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заводских условиях: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  <w:tab/>
              <w:t xml:space="preserve">Полная разборка и дефектовка сервомоторов. Согласование с заказчиком технологии ремонта.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  <w:tab/>
              <w:t>Пескоструйная очистка наружных поверхностей сервомоторов с последующим нанесением антикоррозийного покрытия. Очистке и покраске подвергаются гильза цилиндр (поз. №5), букса нижняя часть цилиндра (поз. №1), задняя крышка (поз. №116) и головка проушина штока (поз. №14). Черт. 027-014-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  <w:tab/>
              <w:t>Восстановление внутренней поверхности гильзы цилиндра сервомотора (поз. №5), методом заполнения повреждений и последующей полировк</w:t>
            </w:r>
            <w:r>
              <w:rPr>
                <w:sz w:val="24"/>
                <w:szCs w:val="24"/>
              </w:rPr>
              <w:t>ой по всей длине цилиндра.</w:t>
            </w:r>
            <w:r>
              <w:rPr>
                <w:sz w:val="24"/>
                <w:szCs w:val="24"/>
              </w:rPr>
              <w:t xml:space="preserve"> Черт. 027-014-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  <w:tab/>
              <w:t xml:space="preserve">Заполнение задиров и дефектных участков поверхности </w:t>
            </w: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штока сервомотора (поз. №8) и последующая полировка до ближайшего размера, соответствующего допускам натяжения манжет. Черт. 027-014-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  <w:tab/>
              <w:t xml:space="preserve">Замена уплотнений поршня и штока сервомотора на манжеты шевронного типа.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  <w:tab/>
              <w:t>Изготовление крышки сальника (поз №41) из нержавеющей стали. Черт. 027-014-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  <w:tab/>
              <w:t>Замена крепежа всех соединений находящихся под водой поз № (17,45,46,47,28,33,7,65,3,2,43,42,50,52) на аналоги из нержавеющей стали. Черт. 027-014-1-АРЗ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  <w:tab/>
              <w:t>Замена крепежа уплотнений поршня и штока (поз. №46,47,26, 27,28) на высокопрочный. Класс прочности не ниже 8.8. Черт. 027-014-</w:t>
            </w:r>
            <w:r>
              <w:rPr>
                <w:sz w:val="24"/>
                <w:szCs w:val="24"/>
              </w:rPr>
              <w:t>7-</w:t>
            </w:r>
            <w:r>
              <w:rPr>
                <w:sz w:val="24"/>
                <w:szCs w:val="24"/>
              </w:rPr>
              <w:t>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  <w:tab/>
              <w:t>Замена колец (поз. №34,36,11,13). Черт. 027-014-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  <w:tab/>
              <w:t>Замена поз №40 (шнур круглый) на аналогичный. Черт. 027-014-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  <w:tab/>
              <w:t>Изготовление и замена кольца нажимного (поз.№10). Черт. 027-014-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 Замена шнура (поз. №24,4) на аналогичные. Черт. 027-014-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</w:t>
              <w:tab/>
              <w:t xml:space="preserve">Замена прокладки (поз. №15,48,22) на аналогичные.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14)</w:t>
              <w:tab/>
              <w:t>До</w:t>
            </w:r>
            <w:r>
              <w:rPr>
                <w:sz w:val="24"/>
                <w:szCs w:val="24"/>
              </w:rPr>
              <w:t>работка</w:t>
            </w:r>
            <w:r>
              <w:rPr>
                <w:sz w:val="24"/>
                <w:szCs w:val="24"/>
              </w:rPr>
              <w:t xml:space="preserve"> демпфирующей части поршня в месте центровки относительно штока до полученного в результате ремонта штока диаметра.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15)</w:t>
              <w:tab/>
              <w:t xml:space="preserve">Изготовление и замена кольца (поз. №32). размеры в соответствии с полученным диаметром штока и требованиями допусков.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16)</w:t>
              <w:tab/>
              <w:t>Очистка всех поверхностей чистовая перед сборкой.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17)</w:t>
              <w:tab/>
              <w:t>Сборка гидроцилиндра сервомотора включая смазку шпилек (поз. №2,25) и ответных гаек (поз. №3) минеральным маслом. Все шпильки, имеющие плотную посадку (поз. №45,47,42,26,25,18,42,33) и прочие элементы (поз. №6,18,52,29) устанавливаются на сурик. Черт. 027-014-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-АРЗ Лист5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</w:t>
              <w:tab/>
              <w:t>Испытания сервомоторов, методом задвижения и удержания в верхнем положении поршня, в течении 15 мин с давлением 180 кгс/см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19) Предоставить фото и видиофиксацию работ при дефектации, замене деталей, сборки, гидравлических испытаний.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20) После окончания работ предоставить доступ представителю Заказчика для визуального осмотра.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)</w:t>
              <w:tab/>
              <w:t>Доставка сервомоторов на территорию заказчика силами исполнителя со страхованием ответственности перевозчика.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  <w:tab/>
              <w:t>Передача Заказчику готовых изделий и документации на использованные материалы.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  <w:tab/>
              <w:t>Подписание Актов приема изделий из ремонта.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3195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разборки и дефектации оборудования возможно уточнение объема ремонтно-восстановительных работ, при необходимости.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0" w:hanging="0"/>
        <w:rPr>
          <w:sz w:val="28"/>
          <w:szCs w:val="28"/>
        </w:rPr>
      </w:pPr>
      <w:bookmarkStart w:id="26" w:name="_Toc191372453"/>
      <w:bookmarkStart w:id="27" w:name="_Toc51339696"/>
      <w:r>
        <w:rPr>
          <w:sz w:val="28"/>
          <w:szCs w:val="28"/>
        </w:rPr>
        <w:t xml:space="preserve">Требования </w:t>
      </w:r>
      <w:bookmarkEnd w:id="27"/>
      <w:r>
        <w:rPr>
          <w:sz w:val="28"/>
          <w:szCs w:val="28"/>
        </w:rPr>
        <w:t xml:space="preserve">к срокам </w:t>
      </w:r>
      <w:bookmarkEnd w:id="26"/>
      <w:r>
        <w:rPr>
          <w:sz w:val="28"/>
          <w:szCs w:val="28"/>
          <w:lang w:val="en-US"/>
        </w:rPr>
        <w:t>оказания услуг</w:t>
      </w:r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28" w:name="_Toc50125127"/>
      <w:bookmarkStart w:id="29" w:name="_Toc51339697"/>
      <w:bookmarkStart w:id="30" w:name="_Toc191372454"/>
      <w:bookmarkStart w:id="31" w:name="_Toc50125126_Копия_1"/>
      <w:bookmarkEnd w:id="31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2" w:name="_Hlk50465284"/>
      <w:r>
        <w:rPr/>
        <w:t xml:space="preserve">Требования по срокам </w:t>
      </w:r>
      <w:bookmarkEnd w:id="28"/>
      <w:bookmarkEnd w:id="29"/>
      <w:bookmarkEnd w:id="30"/>
      <w:bookmarkEnd w:id="32"/>
      <w:r>
        <w:rPr>
          <w:lang w:val="ru-RU"/>
        </w:rPr>
        <w:t>оказания услуг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3402"/>
        <w:gridCol w:w="2837"/>
        <w:gridCol w:w="2831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t>услуг</w:t>
            </w:r>
            <w:r>
              <w:rPr>
                <w:sz w:val="24"/>
                <w:szCs w:val="24"/>
              </w:rPr>
              <w:t xml:space="preserve"> / этапа </w:t>
            </w:r>
            <w:r>
              <w:rPr>
                <w:sz w:val="24"/>
                <w:szCs w:val="24"/>
                <w:lang w:val="en-US"/>
              </w:rPr>
              <w:t>услуг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ОКПД 2: 33.12.29.900 Оказание услуг по ремонту сервомоторов гидроцилиндров №1, №2, №3 в заводских условиях для нужд производственного участка Саяно-Шушенского филиала АО "Гидроремонт-ВКК" в г.Заволжье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iCs/>
                <w:sz w:val="24"/>
                <w:szCs w:val="24"/>
                <w:shd w:fill="FFFFFF" w:val="clear"/>
              </w:rPr>
              <w:t>С даты заключения договора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Не позднее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  <w:shd w:fill="FFFF00" w:val="clear"/>
                <w:lang w:val="en-US"/>
              </w:rPr>
            </w:pPr>
            <w:r>
              <w:rPr>
                <w:sz w:val="24"/>
                <w:szCs w:val="24"/>
                <w:shd w:fill="FFFFFF" w:val="clear"/>
              </w:rPr>
              <w:t xml:space="preserve"> </w:t>
            </w:r>
            <w:r>
              <w:rPr>
                <w:sz w:val="24"/>
                <w:szCs w:val="24"/>
                <w:shd w:fill="FFFFFF" w:val="clear"/>
              </w:rPr>
              <w:t>21.07.2026г.</w:t>
            </w:r>
            <w:bookmarkEnd w:id="16"/>
            <w:r>
              <w:rPr>
                <w:iCs/>
                <w:sz w:val="24"/>
                <w:szCs w:val="24"/>
                <w:shd w:fill="FFFFFF" w:val="clear"/>
                <w:lang w:val="en-US"/>
              </w:rPr>
              <w:t>*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276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/>
      </w:pPr>
      <w:r>
        <w:rPr/>
        <w:t xml:space="preserve">* </w:t>
      </w:r>
      <w:r>
        <w:rPr>
          <w:sz w:val="24"/>
        </w:rPr>
        <w:t>Данный срок указан в соответствии с требованиями договора указанного в п 1.2. Технических требований</w:t>
      </w:r>
    </w:p>
    <w:p>
      <w:pPr>
        <w:pStyle w:val="Heading4"/>
        <w:numPr>
          <w:ilvl w:val="0"/>
        </w:numPr>
        <w:tabs>
          <w:tab w:val="clear" w:pos="0"/>
        </w:tabs>
        <w:ind w:left="432" w:hanging="432"/>
        <w:rPr>
          <w:lang w:val="ru-RU"/>
        </w:rPr>
      </w:pPr>
      <w:bookmarkStart w:id="33" w:name="_Toc51339698"/>
      <w:bookmarkStart w:id="34" w:name="_Toc191372455"/>
      <w:r>
        <w:rPr>
          <w:lang w:val="ru-RU"/>
        </w:rPr>
        <w:t xml:space="preserve">2.2. </w:t>
      </w:r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34"/>
      <w:r>
        <w:rPr>
          <w:lang w:val="ru-RU"/>
        </w:rPr>
        <w:t>услуг</w:t>
      </w:r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35" w:name="_Toc191372456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33"/>
      <w:r>
        <w:rPr>
          <w:lang w:val="ru-RU"/>
        </w:rPr>
        <w:t xml:space="preserve">качеству </w:t>
      </w:r>
      <w:bookmarkEnd w:id="35"/>
      <w:r>
        <w:rPr>
          <w:lang w:val="ru-RU"/>
        </w:rPr>
        <w:t>услуг</w:t>
      </w:r>
    </w:p>
    <w:tbl>
      <w:tblPr>
        <w:tblStyle w:val="affff5"/>
        <w:tblW w:w="151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49"/>
        <w:gridCol w:w="2260"/>
        <w:gridCol w:w="5914"/>
        <w:gridCol w:w="2982"/>
        <w:gridCol w:w="3263"/>
      </w:tblGrid>
      <w:tr>
        <w:trPr/>
        <w:tc>
          <w:tcPr>
            <w:tcW w:w="7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9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Требование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Заказчика</w:t>
            </w:r>
          </w:p>
        </w:tc>
        <w:tc>
          <w:tcPr>
            <w:tcW w:w="62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2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9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9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к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оказанию услуг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98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Участник должен представить в заявке согласие оказать услугу, полностью соответствующую настоящим Техническим требованиям, по форме Технического предложения, установленной в Документации о закупке. 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 и правил нормативно-технических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 должен руководствоваться следующими национальными, отраслевыми и корпоративными НТД:</w:t>
            </w:r>
          </w:p>
          <w:p>
            <w:pPr>
              <w:pStyle w:val="Headertext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ГОСТ 16514-96 «Гидроприводы объемные. Гидроцилиндры. Общие технические требования»</w:t>
            </w:r>
          </w:p>
          <w:p>
            <w:pPr>
              <w:pStyle w:val="Headertext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bCs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  <w:t>ГОСТ 18464-96 «</w:t>
            </w: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Гидроцилиндры.Правила приемки и методы испытаний»</w:t>
            </w:r>
          </w:p>
        </w:tc>
        <w:tc>
          <w:tcPr>
            <w:tcW w:w="29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  <w:shd w:color="auto" w:fill="auto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6" w:name="_Toc191372457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6"/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к организации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услуг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kern w:val="0"/>
                <w:sz w:val="24"/>
                <w:szCs w:val="24"/>
                <w:lang w:val="ru-RU" w:eastAsia="ru-RU" w:bidi="ar-SA"/>
              </w:rPr>
              <w:t>Допуск персонала на Филиал осуществляется в строгом соответствии с регламентом процесса «Допуск подрядных организаций на объекты ПАО «РусГидро»</w:t>
            </w:r>
          </w:p>
        </w:tc>
        <w:tc>
          <w:tcPr>
            <w:tcW w:w="29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7" w:name="_Toc191372458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7"/>
          </w:p>
        </w:tc>
      </w:tr>
      <w:tr>
        <w:trPr>
          <w:trHeight w:val="5125" w:hRule="atLeast"/>
        </w:trPr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к организации оказываемых услуг </w:t>
            </w:r>
          </w:p>
        </w:tc>
        <w:tc>
          <w:tcPr>
            <w:tcW w:w="591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true"/>
              <w:spacing w:before="0" w:after="0"/>
              <w:ind w:left="103" w:firstLine="284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Доставка гидроцилиндров к месту ремонта и обратно осуществляется Исполнителем с включением затрат в стоимость своего предложения</w:t>
            </w:r>
          </w:p>
          <w:p>
            <w:pPr>
              <w:pStyle w:val="BodyText"/>
              <w:widowControl w:val="false"/>
              <w:numPr>
                <w:ilvl w:val="1"/>
                <w:numId w:val="11"/>
              </w:numPr>
              <w:suppressAutoHyphens w:val="true"/>
              <w:spacing w:before="0" w:after="0"/>
              <w:ind w:left="103" w:firstLine="284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в течение 10 рабочих дней после получения гидроцилиндра от Заказчика разрабатывает и предоставляет Заказчику технологию (описание) ремонта гидроцилиндра.</w:t>
            </w:r>
          </w:p>
          <w:p>
            <w:pPr>
              <w:pStyle w:val="BodyText"/>
              <w:widowControl w:val="false"/>
              <w:numPr>
                <w:ilvl w:val="1"/>
                <w:numId w:val="11"/>
              </w:numPr>
              <w:suppressAutoHyphens w:val="true"/>
              <w:spacing w:before="0" w:after="0"/>
              <w:ind w:left="103" w:firstLine="284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Заказчик после получения технологии ремонта в течение 5 рабочих дней согласовывает технологию (описание) ремонта гидроцилиндра или направляет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Исполнителю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замечания.</w:t>
            </w:r>
          </w:p>
          <w:p>
            <w:pPr>
              <w:pStyle w:val="BodyText"/>
              <w:widowControl w:val="false"/>
              <w:numPr>
                <w:ilvl w:val="1"/>
                <w:numId w:val="11"/>
              </w:numPr>
              <w:suppressAutoHyphens w:val="true"/>
              <w:spacing w:before="0" w:after="0"/>
              <w:ind w:left="103" w:firstLine="284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Замечания устраняются Исполнителем в течение 5 рабочих дней.</w:t>
            </w:r>
          </w:p>
          <w:p>
            <w:pPr>
              <w:pStyle w:val="BodyText"/>
              <w:widowControl w:val="false"/>
              <w:numPr>
                <w:ilvl w:val="1"/>
                <w:numId w:val="11"/>
              </w:numPr>
              <w:suppressAutoHyphens w:val="true"/>
              <w:spacing w:before="0" w:after="0"/>
              <w:ind w:left="103" w:firstLine="284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Ремонт гидроцилиндров выполняется с использованием материалов, оборудования и инструмента Исполнителя.</w:t>
            </w:r>
          </w:p>
        </w:tc>
        <w:tc>
          <w:tcPr>
            <w:tcW w:w="29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оборудованию, материалам, технологиям, программно-аппаратным средствам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72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используемым запасным частям и материалам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Запасные части и материалы, необходимые для оказания услуг  по ремонту </w:t>
            </w:r>
            <w:r>
              <w:rPr>
                <w:rFonts w:eastAsia="Verdana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гидроцилиндров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, приобретаются Исполнителем самостоятельно. Все поставляемые и применяемые запасные части, и материалы должны быть новыми и не использованными ранее.</w:t>
            </w:r>
          </w:p>
        </w:tc>
        <w:tc>
          <w:tcPr>
            <w:tcW w:w="29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8" w:name="_Toc191372459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8"/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оказания услуг и материалов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Контроль качества используемых запасных частей и материалов</w:t>
            </w:r>
          </w:p>
        </w:tc>
        <w:tc>
          <w:tcPr>
            <w:tcW w:w="59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Исполнитель должен обеспечить входной контроль поступающих материалов и запасных частей, включающий в себя проверку: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60"/>
              <w:ind w:left="170" w:hanging="170"/>
              <w:contextualSpacing w:val="false"/>
              <w:jc w:val="both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наличия соответствующих сертификатов в соответствии с требованиями постановления Правительства Российской Федерации от 23.12.2021 N 2425 (ред. от 17.08.2024) «Об утверждении единого перечня продукции, подлежащей обязательной сертификации»;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60"/>
              <w:ind w:left="170" w:hanging="170"/>
              <w:contextualSpacing w:val="false"/>
              <w:jc w:val="both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60"/>
              <w:ind w:left="170" w:hanging="170"/>
              <w:contextualSpacing w:val="false"/>
              <w:jc w:val="both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</w:tc>
        <w:tc>
          <w:tcPr>
            <w:tcW w:w="29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bookmarkStart w:id="39" w:name="_Toc191369334"/>
            <w:bookmarkStart w:id="40" w:name="_Toc19137246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9"/>
            <w:bookmarkEnd w:id="40"/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Требования к результатам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услуг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Результат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услуг</w:t>
            </w:r>
          </w:p>
        </w:tc>
        <w:tc>
          <w:tcPr>
            <w:tcW w:w="59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ind w:hanging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Восстановленный до заводских (паспортных) характеристик гидроцилиндр №1, №2, №3 аварийно-ремонтных затворов.</w:t>
            </w:r>
          </w:p>
        </w:tc>
        <w:tc>
          <w:tcPr>
            <w:tcW w:w="29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41" w:name="_Toc191369335"/>
            <w:bookmarkStart w:id="42" w:name="_Toc191372461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41"/>
            <w:bookmarkEnd w:id="42"/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7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Исполнительная документация</w:t>
            </w:r>
          </w:p>
        </w:tc>
        <w:tc>
          <w:tcPr>
            <w:tcW w:w="591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8" w:leader="none"/>
              </w:tabs>
              <w:suppressAutoHyphens w:val="true"/>
              <w:spacing w:before="0" w:after="0"/>
              <w:ind w:left="68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передает: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" w:leader="none"/>
              </w:tabs>
              <w:suppressAutoHyphens w:val="true"/>
              <w:spacing w:before="0" w:after="0"/>
              <w:ind w:left="68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Формуляры (карты) замеров основных параметров до и после ремонта;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" w:leader="none"/>
              </w:tabs>
              <w:suppressAutoHyphens w:val="true"/>
              <w:spacing w:before="0" w:after="0"/>
              <w:ind w:left="68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Сертификаты, паспорта на используемые для ремонта материалы и детали;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ind w:left="68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Акты (протоколы) гидравлических испытаний.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оказания услуг, включая гарантируемые показатели</w:t>
            </w:r>
            <w:r>
              <w:rPr>
                <w:rStyle w:val="Style8"/>
                <w:rFonts w:eastAsia="Times New Roman" w:cs="Times New Roman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Допустимые показатели</w:t>
            </w:r>
          </w:p>
        </w:tc>
        <w:tc>
          <w:tcPr>
            <w:tcW w:w="59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5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Соответствие требованиям чертежа </w:t>
            </w:r>
          </w:p>
          <w:p>
            <w:pPr>
              <w:pStyle w:val="Normal"/>
              <w:widowControl w:val="false"/>
              <w:suppressAutoHyphens w:val="true"/>
              <w:spacing w:before="0" w:after="15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027-014-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-АРЗ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Сервомотор.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услуг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скрытых работ</w:t>
            </w:r>
          </w:p>
        </w:tc>
        <w:tc>
          <w:tcPr>
            <w:tcW w:w="5914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организует доступ представителей Заказчика на свои производственные площади для контроля и приемки скрытых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</w:t>
            </w:r>
          </w:p>
        </w:tc>
        <w:tc>
          <w:tcPr>
            <w:tcW w:w="591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7" w:leader="none"/>
              </w:tabs>
              <w:suppressAutoHyphens w:val="true"/>
              <w:spacing w:before="0" w:after="0"/>
              <w:ind w:left="35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ремонт и комплектующие изделия - не менее 70 месяцев с момента установки гидроцилиндра.</w:t>
            </w:r>
          </w:p>
        </w:tc>
        <w:tc>
          <w:tcPr>
            <w:tcW w:w="29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val="x-none" w:eastAsia="x-none"/>
        </w:rPr>
      </w:pPr>
      <w:bookmarkStart w:id="43" w:name="_Toc191372463"/>
      <w:bookmarkStart w:id="44" w:name="_Toc46743519"/>
      <w:bookmarkStart w:id="45" w:name="_Toc51339699"/>
      <w:bookmarkStart w:id="46" w:name="_Toc191369337"/>
      <w:bookmarkEnd w:id="44"/>
      <w:bookmarkEnd w:id="45"/>
      <w:bookmarkEnd w:id="46"/>
      <w:r>
        <w:rPr>
          <w:rFonts w:eastAsia="Calibri"/>
          <w:b/>
          <w:lang w:val="x-none" w:eastAsia="x-none"/>
        </w:rPr>
        <w:t>3</w:t>
      </w:r>
      <w:r>
        <w:rPr>
          <w:rFonts w:eastAsia="Calibri"/>
          <w:b/>
          <w:i/>
          <w:lang w:val="x-none" w:eastAsia="x-none"/>
        </w:rPr>
        <w:t xml:space="preserve">.  </w:t>
      </w:r>
      <w:r>
        <w:rPr>
          <w:rFonts w:eastAsia="Calibri"/>
          <w:b/>
          <w:lang w:val="x-none" w:eastAsia="x-none"/>
        </w:rPr>
        <w:t>Требования к документации по ценообразованию на этапе закупки.</w:t>
      </w:r>
      <w:bookmarkEnd w:id="43"/>
    </w:p>
    <w:p>
      <w:pPr>
        <w:pStyle w:val="Normal"/>
        <w:tabs>
          <w:tab w:val="clear" w:pos="708"/>
          <w:tab w:val="left" w:pos="567" w:leader="none"/>
        </w:tabs>
        <w:rPr/>
      </w:pPr>
      <w:r>
        <w:rPr/>
        <w:t xml:space="preserve">3.1. 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конкурсного коэффициента). 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/>
        <w:t>3.2. 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val="x-none" w:eastAsia="x-none"/>
        </w:rPr>
      </w:pPr>
      <w:bookmarkStart w:id="47" w:name="_Toc191372464"/>
      <w:r>
        <w:rPr>
          <w:rFonts w:eastAsia="Calibri"/>
          <w:b/>
          <w:lang w:eastAsia="x-none"/>
        </w:rPr>
        <w:t>4</w:t>
      </w:r>
      <w:r>
        <w:rPr>
          <w:rFonts w:eastAsia="Calibri"/>
          <w:b/>
          <w:i/>
          <w:lang w:val="x-none" w:eastAsia="x-none"/>
        </w:rPr>
        <w:t xml:space="preserve">.  </w:t>
      </w:r>
      <w:r>
        <w:rPr>
          <w:rFonts w:eastAsia="Calibri"/>
          <w:b/>
          <w:lang w:val="x-none" w:eastAsia="x-none"/>
        </w:rPr>
        <w:t>Требования к документации по ценообразованию на этапе заключения (исполнения) договора.</w:t>
      </w:r>
      <w:bookmarkEnd w:id="47"/>
    </w:p>
    <w:p>
      <w:pPr>
        <w:pStyle w:val="Normal"/>
        <w:tabs>
          <w:tab w:val="clear" w:pos="708"/>
          <w:tab w:val="left" w:pos="567" w:leader="none"/>
        </w:tabs>
        <w:rPr/>
      </w:pPr>
      <w:r>
        <w:rPr/>
        <w:t>4.1. Сметную документацию составлять и оформлять в соответствии с требованиями к документации по ценообразованию (Приложение 2 к настоящим техническим требованиям) с применением конкурсного коэффициента, указанного в заявке Участника, с которым принято решение заключить договор. Коэффициент начисляется в каждой локальной смете к итогу.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rPr>
          <w:highlight w:val="none"/>
          <w:shd w:fill="auto" w:val="clear"/>
        </w:rPr>
      </w:pPr>
      <w:r>
        <w:rPr>
          <w:b/>
          <w:shd w:fill="auto" w:val="clear"/>
        </w:rPr>
        <w:t>5. Приложения:</w:t>
      </w:r>
    </w:p>
    <w:p>
      <w:pPr>
        <w:pStyle w:val="Normal"/>
        <w:tabs>
          <w:tab w:val="clear" w:pos="708"/>
          <w:tab w:val="left" w:pos="567" w:leader="none"/>
        </w:tabs>
        <w:rPr>
          <w:highlight w:val="none"/>
          <w:shd w:fill="auto" w:val="clear"/>
        </w:rPr>
      </w:pPr>
      <w:bookmarkStart w:id="48" w:name="_Hlk136261213"/>
      <w:bookmarkStart w:id="49" w:name="_Toc46743519_Копия_1"/>
      <w:bookmarkStart w:id="50" w:name="_Toc51339699_Копия_1"/>
      <w:bookmarkStart w:id="51" w:name="_Toc191369337_Копия_1"/>
      <w:bookmarkEnd w:id="49"/>
      <w:bookmarkEnd w:id="50"/>
      <w:bookmarkEnd w:id="51"/>
      <w:r>
        <w:rPr>
          <w:shd w:fill="auto" w:val="clear"/>
        </w:rPr>
        <w:t>1. Комплект чертежей на сервомотор:</w:t>
      </w:r>
      <w:r>
        <w:rPr>
          <w:b/>
          <w:shd w:fill="auto" w:val="clear"/>
        </w:rPr>
        <w:t xml:space="preserve"> </w:t>
      </w:r>
      <w:bookmarkEnd w:id="48"/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 Лист 5 (сервомотор гидропривода АРЗ Ø370×Ø140×6900);</w:t>
      </w:r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 Лист 8 (узел шевронного уплотнения поршня);</w:t>
      </w:r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 Лист 9 (узел шевронного уплотнения штока);</w:t>
      </w:r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-АРЗ.И-01 (Опорное кольцо манжеты уплотнения поршня КО 330х370-2 ГОСТ 22704-77);</w:t>
      </w:r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-АРЗ.И-02 (Манжета шевронная уплотнения поршня М 330х370-2 ГОСТ 22704-77);</w:t>
      </w:r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-АРЗ.И-03 (Манжета шевронная уплотнения поршня фторопласт М 330х370-2);</w:t>
      </w:r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-АРЗ.И-04 (Нажимное кольцо манжеты уплотнения поршня КН 330х370-2 ГОСТ 22704-77);</w:t>
      </w:r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-АРЗ.И-05 (Опорное кольцо манжеты уплотнения штока КО 140х165-2 ГОСТ 22704-77);</w:t>
      </w:r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-АРЗ.И-06 (Манжета шевронная уплотнения поршня М 140х165-2 ГОСТ 22704-77);</w:t>
      </w:r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-АРЗ.И-07 (Манжета шевронная уплотнения штока фторопласт 140х165);</w:t>
      </w:r>
    </w:p>
    <w:p>
      <w:pPr>
        <w:pStyle w:val="Normal"/>
        <w:spacing w:before="0" w:after="120"/>
        <w:rPr>
          <w:highlight w:val="none"/>
          <w:shd w:fill="auto" w:val="clear"/>
        </w:rPr>
      </w:pPr>
      <w:r>
        <w:rPr>
          <w:shd w:fill="auto" w:val="clear"/>
        </w:rPr>
        <w:t>- 027-014-</w:t>
      </w:r>
      <w:r>
        <w:rPr>
          <w:shd w:fill="auto" w:val="clear"/>
        </w:rPr>
        <w:t>7</w:t>
      </w:r>
      <w:r>
        <w:rPr>
          <w:shd w:fill="auto" w:val="clear"/>
        </w:rPr>
        <w:t>-АРЗ.И-08 (Нажимное кольцо манжеты уплотнения штока КН 140х165-2 ГОСТ 22704-77).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shd w:fill="auto" w:val="clear"/>
        </w:rPr>
        <w:t xml:space="preserve"> </w:t>
      </w:r>
      <w:r>
        <w:rPr>
          <w:shd w:fill="auto" w:val="clear"/>
        </w:rPr>
        <w:t>2. Требования к документации по</w:t>
      </w:r>
      <w:r>
        <w:rPr/>
        <w:t xml:space="preserve"> ценообразованию на этапе заключения (исполнения) договора.</w:t>
      </w:r>
    </w:p>
    <w:p>
      <w:pPr>
        <w:pStyle w:val="Normal"/>
        <w:spacing w:before="0" w:after="120"/>
        <w:rPr>
          <w:bCs/>
          <w:iCs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276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2519F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2519F1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0b53"/>
    <w:pPr>
      <w:keepNext w:val="true"/>
      <w:numPr>
        <w:ilvl w:val="2"/>
        <w:numId w:val="3"/>
      </w:numPr>
      <w:spacing w:before="120" w:after="60"/>
      <w:ind w:left="0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0b53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c01d2"/>
    <w:pPr>
      <w:tabs>
        <w:tab w:val="clear" w:pos="708"/>
        <w:tab w:val="right" w:pos="9769" w:leader="dot"/>
      </w:tabs>
      <w:ind w:left="280" w:hanging="0"/>
    </w:pPr>
    <w:rPr>
      <w:rFonts w:cs="Calibri" w:cstheme="minorHAnsi"/>
      <w:sz w:val="22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70f90"/>
    <w:pPr>
      <w:tabs>
        <w:tab w:val="clear" w:pos="708"/>
        <w:tab w:val="right" w:pos="9769" w:leader="dot"/>
      </w:tabs>
      <w:ind w:left="560" w:hanging="0"/>
    </w:pPr>
    <w:rPr>
      <w:rFonts w:eastAsia="Calibri" w:cs="Calibri" w:cstheme="minorHAnsi"/>
      <w:sz w:val="20"/>
      <w:szCs w:val="20"/>
      <w:lang w:val="en-US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9f4382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9f4382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B9BE-70FA-430A-9A22-F92C53D7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Application>AlterOffice/3.4.0.9$Linux_X86_64 LibreOffice_project/b8daf9e823b1a5463a2f48435ddc2e8696e7d4fc</Application>
  <AppVersion>15.0000</AppVersion>
  <Pages>11</Pages>
  <Words>1742</Words>
  <Characters>12022</Characters>
  <CharactersWithSpaces>13573</CharactersWithSpaces>
  <Paragraphs>241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2023-08-01T05:28:00Z</dcterms:created>
  <dc:creator>Быстров Олег Геннадьевич</dc:creator>
  <dc:description/>
  <dc:language>ru-RU</dc:language>
  <cp:lastModifiedBy>kudryavtsevaen@corp.gidroogk.com</cp:lastModifiedBy>
  <cp:lastPrinted>2025-03-04T13:04:00Z</cp:lastPrinted>
  <dcterms:modified xsi:type="dcterms:W3CDTF">2026-03-19T08:47:35Z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