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360" w:after="120"/>
        <w:ind w:left="425" w:hanging="0"/>
        <w:jc w:val="center"/>
        <w:rPr>
          <w:rFonts w:ascii="Times New Roman" w:hAnsi="Times New Roman" w:eastAsia="Calibri"/>
          <w:sz w:val="26"/>
          <w:szCs w:val="26"/>
        </w:rPr>
      </w:pPr>
      <w:r>
        <w:rPr>
          <w:rFonts w:eastAsia="Calibri" w:ascii="Times New Roman" w:hAnsi="Times New Roman"/>
          <w:b/>
          <w:caps/>
          <w:szCs w:val="24"/>
        </w:rPr>
        <w:t>ОБОСНОВАНИЕ начальной (максимальной) цены договора</w:t>
      </w:r>
      <w:r>
        <w:rPr>
          <w:rFonts w:eastAsia="Calibri" w:ascii="Times New Roman" w:hAnsi="Times New Roman"/>
          <w:sz w:val="26"/>
          <w:szCs w:val="26"/>
        </w:rPr>
        <w:t xml:space="preserve"> </w:t>
      </w:r>
    </w:p>
    <w:p>
      <w:pPr>
        <w:pStyle w:val="Normal"/>
        <w:numPr>
          <w:ilvl w:val="0"/>
          <w:numId w:val="2"/>
        </w:numPr>
        <w:spacing w:lineRule="exact" w:line="360" w:before="120" w:after="120"/>
        <w:ind w:left="714" w:hanging="357"/>
        <w:jc w:val="both"/>
        <w:rPr>
          <w:rFonts w:ascii="Times New Roman" w:hAnsi="Times New Roman" w:eastAsia="Calibri"/>
          <w:b/>
          <w:sz w:val="26"/>
          <w:szCs w:val="26"/>
        </w:rPr>
      </w:pPr>
      <w:r>
        <w:rPr>
          <w:rFonts w:eastAsia="Calibri" w:ascii="Times New Roman" w:hAnsi="Times New Roman"/>
          <w:b/>
          <w:sz w:val="26"/>
          <w:szCs w:val="26"/>
        </w:rPr>
        <w:t xml:space="preserve">Общая информация </w:t>
      </w:r>
    </w:p>
    <w:tbl>
      <w:tblPr>
        <w:tblStyle w:val="1"/>
        <w:tblW w:w="10632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10"/>
        <w:gridCol w:w="2409"/>
        <w:gridCol w:w="7513"/>
      </w:tblGrid>
      <w:tr>
        <w:trPr/>
        <w:tc>
          <w:tcPr>
            <w:tcW w:w="710" w:type="dxa"/>
            <w:tcBorders/>
          </w:tcPr>
          <w:p>
            <w:pPr>
              <w:pStyle w:val="Normal"/>
              <w:widowControl/>
              <w:suppressAutoHyphens w:val="true"/>
              <w:spacing w:lineRule="exact" w:line="360" w:before="120" w:after="0"/>
              <w:ind w:hanging="40"/>
              <w:contextualSpacing/>
              <w:jc w:val="both"/>
              <w:rPr>
                <w:rFonts w:ascii="Times New Roman" w:hAnsi="Times New Roman" w:eastAsia="Calibri"/>
                <w:b/>
                <w:szCs w:val="24"/>
              </w:rPr>
            </w:pPr>
            <w:r>
              <w:rPr>
                <w:rFonts w:eastAsia="Calibri" w:ascii="Times New Roman" w:hAnsi="Times New Roman"/>
                <w:b/>
                <w:kern w:val="0"/>
                <w:szCs w:val="24"/>
                <w:lang w:val="en-US" w:eastAsia="en-US" w:bidi="ar-SA"/>
              </w:rPr>
              <w:t xml:space="preserve"> </w:t>
            </w:r>
            <w:r>
              <w:rPr>
                <w:rFonts w:eastAsia="Calibri" w:ascii="Times New Roman" w:hAnsi="Times New Roman"/>
                <w:b/>
                <w:kern w:val="0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ascii="Times New Roman" w:hAnsi="Times New Roman"/>
                <w:b/>
                <w:kern w:val="0"/>
                <w:szCs w:val="24"/>
                <w:lang w:val="ru-RU" w:eastAsia="en-US" w:bidi="ar-SA"/>
              </w:rPr>
              <w:t>п/п</w:t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/>
              <w:suppressAutoHyphens w:val="true"/>
              <w:spacing w:lineRule="exact" w:line="360" w:before="120" w:after="0"/>
              <w:contextualSpacing/>
              <w:jc w:val="both"/>
              <w:rPr>
                <w:rFonts w:ascii="Times New Roman" w:hAnsi="Times New Roman" w:eastAsia="Calibri"/>
                <w:b/>
                <w:szCs w:val="24"/>
              </w:rPr>
            </w:pPr>
            <w:r>
              <w:rPr>
                <w:rFonts w:eastAsia="Calibri" w:ascii="Times New Roman" w:hAnsi="Times New Roman"/>
                <w:b/>
                <w:kern w:val="0"/>
                <w:szCs w:val="24"/>
                <w:lang w:val="ru-RU" w:eastAsia="en-US" w:bidi="ar-SA"/>
              </w:rPr>
              <w:t>Наименование</w:t>
            </w:r>
          </w:p>
        </w:tc>
        <w:tc>
          <w:tcPr>
            <w:tcW w:w="7513" w:type="dxa"/>
            <w:tcBorders/>
          </w:tcPr>
          <w:p>
            <w:pPr>
              <w:pStyle w:val="Normal"/>
              <w:widowControl/>
              <w:suppressAutoHyphens w:val="true"/>
              <w:spacing w:lineRule="exact" w:line="360" w:before="120" w:after="0"/>
              <w:contextualSpacing/>
              <w:jc w:val="both"/>
              <w:rPr>
                <w:rFonts w:ascii="Times New Roman" w:hAnsi="Times New Roman"/>
                <w:b/>
                <w:i/>
                <w:i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kern w:val="0"/>
                <w:szCs w:val="24"/>
                <w:lang w:val="ru-RU" w:eastAsia="en-US" w:bidi="ar-SA"/>
              </w:rPr>
              <w:t>Информация по лоту</w:t>
            </w:r>
          </w:p>
        </w:tc>
      </w:tr>
      <w:tr>
        <w:trPr/>
        <w:tc>
          <w:tcPr>
            <w:tcW w:w="710" w:type="dxa"/>
            <w:tcBorders/>
          </w:tcPr>
          <w:p>
            <w:pPr>
              <w:pStyle w:val="Normal"/>
              <w:widowControl/>
              <w:numPr>
                <w:ilvl w:val="1"/>
                <w:numId w:val="2"/>
              </w:numPr>
              <w:suppressAutoHyphens w:val="true"/>
              <w:spacing w:lineRule="exact" w:line="360" w:before="120" w:after="120"/>
              <w:ind w:left="0" w:hanging="0"/>
              <w:contextualSpacing/>
              <w:jc w:val="both"/>
              <w:rPr>
                <w:rFonts w:ascii="Times New Roman" w:hAnsi="Times New Roman" w:eastAsia="Calibri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Cs w:val="24"/>
                <w:lang w:val="ru-RU" w:eastAsia="en-US" w:bidi="ar-SA"/>
              </w:rPr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kern w:val="0"/>
                <w:szCs w:val="24"/>
                <w:lang w:val="ru-RU" w:eastAsia="en-US" w:bidi="ar-SA"/>
              </w:rPr>
              <w:t>Наименование лота</w:t>
            </w:r>
          </w:p>
        </w:tc>
        <w:tc>
          <w:tcPr>
            <w:tcW w:w="751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szCs w:val="24"/>
                <w:lang w:val="ru-RU" w:bidi="ar-SA"/>
              </w:rPr>
              <w:t>ОКПД2 43.12.11 Выполнение первоочередных строительно-монтажных работ в рамках строительства ЗШО №2 Нерюнгринской ГРЭС для нужд филиала ПАО «РусГидро» – «Хабаровский»</w:t>
            </w:r>
          </w:p>
        </w:tc>
      </w:tr>
      <w:tr>
        <w:trPr/>
        <w:tc>
          <w:tcPr>
            <w:tcW w:w="710" w:type="dxa"/>
            <w:tcBorders/>
          </w:tcPr>
          <w:p>
            <w:pPr>
              <w:pStyle w:val="Normal"/>
              <w:widowControl/>
              <w:numPr>
                <w:ilvl w:val="1"/>
                <w:numId w:val="2"/>
              </w:numPr>
              <w:suppressAutoHyphens w:val="true"/>
              <w:spacing w:lineRule="exact" w:line="360" w:before="120" w:after="120"/>
              <w:ind w:left="0" w:hanging="0"/>
              <w:contextualSpacing/>
              <w:jc w:val="both"/>
              <w:rPr>
                <w:rFonts w:ascii="Times New Roman" w:hAnsi="Times New Roman" w:eastAsia="Calibri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Cs w:val="24"/>
                <w:lang w:val="ru-RU" w:eastAsia="en-US" w:bidi="ar-SA"/>
              </w:rPr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/>
              <w:suppressAutoHyphens w:val="true"/>
              <w:spacing w:lineRule="exact" w:line="360" w:before="120" w:after="0"/>
              <w:contextualSpacing/>
              <w:jc w:val="both"/>
              <w:rPr>
                <w:rFonts w:ascii="Times New Roman" w:hAnsi="Times New Roman" w:eastAsia="Calibri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Cs w:val="24"/>
                <w:lang w:val="ru-RU" w:eastAsia="en-US" w:bidi="ar-SA"/>
              </w:rPr>
              <w:t>Номер лота</w:t>
            </w:r>
          </w:p>
        </w:tc>
        <w:tc>
          <w:tcPr>
            <w:tcW w:w="7513" w:type="dxa"/>
            <w:tcBorders/>
          </w:tcPr>
          <w:p>
            <w:pPr>
              <w:pStyle w:val="Normal"/>
              <w:widowControl/>
              <w:suppressAutoHyphens w:val="true"/>
              <w:spacing w:lineRule="exact" w:line="360" w:before="60" w:after="60"/>
              <w:jc w:val="both"/>
              <w:rPr>
                <w:rFonts w:ascii="Times New Roman" w:hAnsi="Times New Roman"/>
                <w:i/>
                <w:i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kern w:val="0"/>
                <w:szCs w:val="24"/>
                <w:lang w:val="ru-RU" w:eastAsia="en-US" w:bidi="ar-SA"/>
              </w:rPr>
              <w:t>00</w:t>
            </w:r>
            <w:r>
              <w:rPr>
                <w:rFonts w:ascii="Times New Roman" w:hAnsi="Times New Roman"/>
                <w:i/>
                <w:color w:val="000000" w:themeColor="text1"/>
                <w:kern w:val="0"/>
                <w:szCs w:val="24"/>
                <w:lang w:val="ru-RU" w:eastAsia="en-US" w:bidi="ar-SA"/>
              </w:rPr>
              <w:t>44</w:t>
            </w:r>
            <w:r>
              <w:rPr>
                <w:rFonts w:ascii="Times New Roman" w:hAnsi="Times New Roman"/>
                <w:i/>
                <w:color w:val="000000" w:themeColor="text1"/>
                <w:kern w:val="0"/>
                <w:szCs w:val="24"/>
                <w:lang w:val="ru-RU" w:eastAsia="en-US" w:bidi="ar-SA"/>
              </w:rPr>
              <w:t>-КС ПИР СМР-2026-ХФ</w:t>
            </w:r>
          </w:p>
        </w:tc>
      </w:tr>
      <w:tr>
        <w:trPr/>
        <w:tc>
          <w:tcPr>
            <w:tcW w:w="710" w:type="dxa"/>
            <w:tcBorders/>
          </w:tcPr>
          <w:p>
            <w:pPr>
              <w:pStyle w:val="Normal"/>
              <w:widowControl/>
              <w:numPr>
                <w:ilvl w:val="1"/>
                <w:numId w:val="2"/>
              </w:numPr>
              <w:suppressAutoHyphens w:val="true"/>
              <w:spacing w:lineRule="exact" w:line="360" w:before="120" w:after="120"/>
              <w:ind w:left="0" w:hanging="0"/>
              <w:contextualSpacing/>
              <w:jc w:val="both"/>
              <w:rPr>
                <w:rFonts w:ascii="Times New Roman" w:hAnsi="Times New Roman" w:eastAsia="Calibri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Cs w:val="24"/>
                <w:lang w:val="ru-RU" w:eastAsia="en-US" w:bidi="ar-SA"/>
              </w:rPr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/>
              <w:suppressAutoHyphens w:val="true"/>
              <w:spacing w:lineRule="exact" w:line="360" w:before="120" w:after="0"/>
              <w:contextualSpacing/>
              <w:jc w:val="both"/>
              <w:rPr>
                <w:rFonts w:ascii="Times New Roman" w:hAnsi="Times New Roman" w:eastAsia="Calibri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Cs w:val="24"/>
                <w:lang w:val="ru-RU" w:eastAsia="en-US" w:bidi="ar-SA"/>
              </w:rPr>
              <w:t>НМЦ лота</w:t>
            </w:r>
          </w:p>
        </w:tc>
        <w:tc>
          <w:tcPr>
            <w:tcW w:w="7513" w:type="dxa"/>
            <w:tcBorders/>
          </w:tcPr>
          <w:p>
            <w:pPr>
              <w:pStyle w:val="Normal"/>
              <w:widowControl/>
              <w:suppressAutoHyphens w:val="true"/>
              <w:spacing w:lineRule="exact" w:line="360" w:before="60" w:after="60"/>
              <w:jc w:val="both"/>
              <w:rPr>
                <w:rFonts w:ascii="Times New Roman" w:hAnsi="Times New Roman"/>
                <w:i/>
                <w:i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mes New Roman" w:hAnsi="Times New Roman"/>
                <w:i/>
                <w:kern w:val="0"/>
                <w:sz w:val="24"/>
                <w:szCs w:val="22"/>
                <w:lang w:val="ru-RU" w:eastAsia="en-US" w:bidi="ar-SA"/>
              </w:rPr>
              <w:t>625 158 010,28</w:t>
            </w:r>
            <w:r>
              <w:rPr>
                <w:rFonts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mes New Roman" w:hAnsi="Times New Roman"/>
                <w:i/>
                <w:color w:val="000000" w:themeColor="text1"/>
                <w:kern w:val="0"/>
                <w:szCs w:val="24"/>
                <w:lang w:val="ru-RU" w:eastAsia="en-US" w:bidi="ar-SA"/>
              </w:rPr>
              <w:t>руб. без учета НДС</w:t>
            </w:r>
          </w:p>
        </w:tc>
      </w:tr>
    </w:tbl>
    <w:p>
      <w:pPr>
        <w:pStyle w:val="Normal"/>
        <w:numPr>
          <w:ilvl w:val="0"/>
          <w:numId w:val="2"/>
        </w:numPr>
        <w:spacing w:lineRule="exact" w:line="360" w:before="120" w:after="120"/>
        <w:ind w:left="714" w:hanging="357"/>
        <w:jc w:val="both"/>
        <w:rPr>
          <w:rFonts w:ascii="Times New Roman" w:hAnsi="Times New Roman" w:eastAsia="Calibri"/>
          <w:b/>
          <w:sz w:val="26"/>
          <w:szCs w:val="26"/>
        </w:rPr>
      </w:pPr>
      <w:r>
        <w:rPr>
          <w:rFonts w:eastAsia="Calibri" w:ascii="Times New Roman" w:hAnsi="Times New Roman"/>
          <w:b/>
          <w:sz w:val="26"/>
          <w:szCs w:val="26"/>
        </w:rPr>
        <w:t>Использованный метод (методы) расчета НМЦ / цены единицы товара, работы, услуги:</w:t>
      </w:r>
    </w:p>
    <w:p>
      <w:pPr>
        <w:pStyle w:val="Normal"/>
        <w:spacing w:before="0" w:after="120"/>
        <w:jc w:val="both"/>
        <w:rPr>
          <w:rFonts w:ascii="Times New Roman" w:hAnsi="Times New Roman" w:eastAsia="Calibri"/>
          <w:sz w:val="26"/>
          <w:szCs w:val="26"/>
        </w:rPr>
      </w:pPr>
      <w:r>
        <w:rPr>
          <w:rFonts w:eastAsia="Calibri" w:ascii="Times New Roman" w:hAnsi="Times New Roman"/>
          <w:sz w:val="26"/>
          <w:szCs w:val="26"/>
        </w:rPr>
        <w:t>Базисно-индексный метод</w:t>
      </w:r>
    </w:p>
    <w:p>
      <w:pPr>
        <w:pStyle w:val="Normal"/>
        <w:jc w:val="both"/>
        <w:rPr>
          <w:rFonts w:ascii="Times New Roman" w:hAnsi="Times New Roman" w:eastAsia="Times New Roman"/>
          <w:sz w:val="22"/>
          <w:szCs w:val="24"/>
          <w:lang w:eastAsia="ru-RU"/>
        </w:rPr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992" w:right="567" w:gutter="0" w:header="0" w:top="992" w:footer="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Geneva CY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a689f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e33542"/>
    <w:rPr>
      <w:rFonts w:ascii="Segoe UI" w:hAnsi="Segoe UI" w:eastAsia="Geneva" w:cs="Segoe UI"/>
      <w:sz w:val="18"/>
      <w:szCs w:val="18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 Unicode MS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 Unicode MS"/>
      <w:i/>
      <w:iCs/>
      <w:szCs w:val="24"/>
    </w:rPr>
  </w:style>
  <w:style w:type="paragraph" w:styleId="ListParagraph">
    <w:name w:val="List Paragraph"/>
    <w:basedOn w:val="Normal"/>
    <w:uiPriority w:val="34"/>
    <w:qFormat/>
    <w:rsid w:val="00ca689f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Style9"/>
    <w:uiPriority w:val="99"/>
    <w:semiHidden/>
    <w:unhideWhenUsed/>
    <w:qFormat/>
    <w:rsid w:val="00e33542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ca689f"/>
    <w:pPr>
      <w:jc w:val="both"/>
    </w:pPr>
    <w:rPr>
      <w:sz w:val="26"/>
      <w:szCs w:val="26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b">
    <w:name w:val="Table Grid"/>
    <w:basedOn w:val="a1"/>
    <w:uiPriority w:val="39"/>
    <w:rsid w:val="00ca689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AlterOffice/3.4.0.9$Linux_X86_64 LibreOffice_project/b8daf9e823b1a5463a2f48435ddc2e8696e7d4fc</Application>
  <AppVersion>15.0000</AppVersion>
  <Pages>1</Pages>
  <Words>66</Words>
  <Characters>427</Characters>
  <CharactersWithSpaces>480</CharactersWithSpaces>
  <Paragraphs>16</Paragraphs>
  <Company>ПАО "РАО ЭС Востока"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2026-02-18T05:50:00Z</dcterms:created>
  <dc:creator>Брей Наталья Александровна</dc:creator>
  <dc:description/>
  <dc:language>ru-RU</dc:language>
  <cp:lastModifiedBy>batsaginmmi@corp.gidroogk.com</cp:lastModifiedBy>
  <dcterms:modified xsi:type="dcterms:W3CDTF">2026-06-09T13:38:39Z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