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ОКПД2 19.20.29.119 Поставка масла турбинного для нужд Саратовского филиала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Лот № 0008-РЕМ ДОХ-2026-ГРВКК-СарФ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5"/>
        </w:numPr>
        <w:ind w:left="0" w:hanging="0"/>
        <w:jc w:val="center"/>
        <w:rPr/>
      </w:pPr>
      <w:bookmarkStart w:id="0" w:name="_Toc75446568"/>
      <w:bookmarkStart w:id="1" w:name="_Toc4674350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5"/>
        </w:numPr>
        <w:ind w:left="574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ListParagraph"/>
        <w:spacing w:lineRule="auto" w:line="264"/>
        <w:ind w:left="0" w:hanging="0"/>
        <w:rPr/>
      </w:pPr>
      <w:r>
        <w:rPr/>
        <w:t>ОКПД2 19.20.29.119 Поставка масла турбинного для нужд Саратовского филиала.</w:t>
      </w:r>
    </w:p>
    <w:p>
      <w:pPr>
        <w:pStyle w:val="Heading4"/>
        <w:numPr>
          <w:ilvl w:val="1"/>
          <w:numId w:val="5"/>
        </w:numPr>
        <w:ind w:left="574" w:hanging="432"/>
        <w:rPr>
          <w:shd w:fill="FFFFFF" w:val="clear"/>
        </w:rPr>
      </w:pPr>
      <w:bookmarkStart w:id="2" w:name="_Toc75446569"/>
      <w:bookmarkStart w:id="3" w:name="_Toc46743507"/>
      <w:r>
        <w:rPr>
          <w:iCs/>
          <w:shd w:fill="FFFFFF" w:val="clear"/>
        </w:rPr>
        <w:t xml:space="preserve">Цель </w:t>
      </w:r>
      <w:bookmarkEnd w:id="3"/>
      <w:r>
        <w:rPr>
          <w:iCs/>
          <w:shd w:fill="FFFFFF" w:val="clear"/>
        </w:rPr>
        <w:t xml:space="preserve">использования закупаемой продукции </w:t>
      </w:r>
      <w:bookmarkEnd w:id="2"/>
      <w:r>
        <w:rPr>
          <w:iCs/>
          <w:shd w:fill="FFFFFF" w:val="clear"/>
        </w:rPr>
        <w:t xml:space="preserve"> </w:t>
      </w:r>
    </w:p>
    <w:p>
      <w:pPr>
        <w:pStyle w:val="ListParagraph"/>
        <w:spacing w:lineRule="auto" w:line="264"/>
        <w:ind w:left="0" w:hanging="0"/>
        <w:rPr>
          <w:shd w:fill="FFFFFF" w:val="clear"/>
        </w:rPr>
      </w:pPr>
      <w:r>
        <w:rPr>
          <w:shd w:fill="FFFFFF" w:val="clear"/>
        </w:rPr>
        <w:t>1.2.1. Масло турбинное ТП-30. предназначено для капитального ремонта гидроагрегатов ст.№1; 5;14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>1.2.2. Продукция закупается для исполнения Д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оговора подряда № 1300-355-2023 от 02.11.2023г. Капитальный и текущий ремонт оборудования, зданий, сооружений филиала ПАО "РусГидро" - "Саратовская ГЭС", </w:t>
      </w:r>
      <w:r>
        <w:rPr>
          <w:color w:val="000000"/>
          <w:sz w:val="24"/>
          <w:szCs w:val="24"/>
          <w:shd w:fill="FFFFFF" w:val="clear"/>
          <w:lang w:eastAsia="en-US"/>
        </w:rPr>
        <w:t>заключенному между ПАО «РусГидро» и АО «Гидроремонт-ВКК».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5"/>
        </w:numPr>
        <w:ind w:left="357" w:hanging="357"/>
        <w:jc w:val="center"/>
        <w:rPr>
          <w:shd w:fill="FFFFFF" w:val="clear"/>
        </w:rPr>
      </w:pPr>
      <w:bookmarkStart w:id="4" w:name="_Toc75446573"/>
      <w:bookmarkStart w:id="5" w:name="_Toc51339693"/>
      <w:bookmarkStart w:id="6" w:name="_Toc50125126"/>
      <w:bookmarkEnd w:id="6"/>
      <w:r>
        <w:rPr>
          <w:iCs/>
          <w:shd w:fill="FFFFFF" w:val="clear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5"/>
        </w:numPr>
        <w:rPr>
          <w:shd w:fill="FFFFFF" w:val="clear"/>
        </w:rPr>
      </w:pPr>
      <w:bookmarkStart w:id="7" w:name="_Toc75446574"/>
      <w:r>
        <w:rPr>
          <w:shd w:fill="FFFFFF" w:val="clear"/>
        </w:rPr>
        <w:t xml:space="preserve">Требования к объемам и срокам </w:t>
      </w:r>
      <w:r>
        <w:rPr>
          <w:shd w:fill="FFFFFF" w:val="clear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5"/>
        </w:numPr>
        <w:rPr>
          <w:shd w:fill="FFFFFF" w:val="clear"/>
        </w:rPr>
      </w:pPr>
      <w:bookmarkStart w:id="8" w:name="_Toc75446575"/>
      <w:r>
        <w:rPr>
          <w:shd w:fill="FFFFFF" w:val="clear"/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hd w:fill="FFFFFF" w:val="clear"/>
        </w:rPr>
      </w:pPr>
      <w:bookmarkStart w:id="9" w:name="_Toc75446576"/>
      <w:bookmarkStart w:id="10" w:name="_Toc51339695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1.1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  <w:lang w:val="ru-RU"/>
        </w:rPr>
        <w:t xml:space="preserve">Перечень </w:t>
      </w:r>
      <w:bookmarkEnd w:id="10"/>
      <w:r>
        <w:rPr>
          <w:sz w:val="24"/>
          <w:szCs w:val="24"/>
          <w:shd w:fill="FFFFFF" w:val="clear"/>
          <w:lang w:val="ru-RU"/>
        </w:rPr>
        <w:t>и объем закупаемой продукции</w:t>
      </w:r>
      <w:bookmarkEnd w:id="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2"/>
        <w:gridCol w:w="5887"/>
        <w:gridCol w:w="1542"/>
        <w:gridCol w:w="1548"/>
      </w:tblGrid>
      <w:tr>
        <w:trPr>
          <w:tblHeader w:val="true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продукции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Количество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Турбинное масло ТП-30 ГОСТ 9972-2020 класс пром. чистоты 13 ГОСТ17216-2001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30,60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Турбинное масло ТП-30 ГОСТ 9972-2020 класс пром. чистоты 11 ГОСТ17216-2001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40,68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shd w:fill="FFFFFF" w:val="clear"/>
          <w:lang w:val="ru-RU"/>
        </w:rPr>
      </w:pPr>
      <w:r>
        <w:rPr>
          <w:shd w:fill="FFFFFF" w:val="clear"/>
          <w:lang w:val="ru-RU"/>
        </w:rPr>
      </w:r>
    </w:p>
    <w:p>
      <w:pPr>
        <w:pStyle w:val="Heading3"/>
        <w:numPr>
          <w:ilvl w:val="2"/>
          <w:numId w:val="5"/>
        </w:numPr>
        <w:rPr>
          <w:shd w:fill="FFFFFF" w:val="clear"/>
        </w:rPr>
      </w:pPr>
      <w:r>
        <w:rPr>
          <w:shd w:fill="FFFFFF" w:val="clear"/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hd w:fill="FFFFFF" w:val="clear"/>
        </w:rPr>
      </w:pPr>
      <w:bookmarkStart w:id="11" w:name="_Toc75446579"/>
      <w:bookmarkStart w:id="12" w:name="_Toc51339697"/>
      <w:bookmarkStart w:id="13" w:name="_Toc50125127"/>
      <w:bookmarkStart w:id="14" w:name="_Toc501251261"/>
      <w:bookmarkEnd w:id="14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2</w:t>
      </w:r>
      <w:r>
        <w:rPr>
          <w:sz w:val="24"/>
          <w:szCs w:val="24"/>
          <w:shd w:fill="FFFFFF" w:val="clear"/>
        </w:rPr>
        <w:t>.</w:t>
      </w:r>
      <w:r>
        <w:rPr>
          <w:sz w:val="24"/>
          <w:szCs w:val="24"/>
          <w:shd w:fill="FFFFFF" w:val="clear"/>
          <w:lang w:val="ru-RU"/>
        </w:rPr>
        <w:t>1</w:t>
      </w:r>
      <w:r>
        <w:rPr>
          <w:sz w:val="24"/>
          <w:szCs w:val="24"/>
          <w:shd w:fill="FFFFFF" w:val="clear"/>
        </w:rPr>
        <w:t xml:space="preserve"> </w:t>
      </w:r>
      <w:bookmarkStart w:id="15" w:name="_Hlk50465284"/>
      <w:r>
        <w:rPr>
          <w:sz w:val="24"/>
          <w:szCs w:val="24"/>
          <w:shd w:fill="FFFFFF" w:val="clear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shd w:fill="FFFFFF" w:val="clear"/>
          <w:lang w:val="ru-RU"/>
        </w:rPr>
        <w:t>поставки продукции</w:t>
      </w:r>
      <w:bookmarkEnd w:id="11"/>
      <w:r>
        <w:rPr>
          <w:sz w:val="24"/>
          <w:szCs w:val="24"/>
          <w:shd w:fill="FFFFFF" w:val="clear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1837"/>
        <w:gridCol w:w="2270"/>
        <w:gridCol w:w="4965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поставки продукции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ОКПД2 19.20.29.119 Поставка масла турбинного для нужд Саратовского филиала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 сторонами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64"/>
              <w:ind w:left="0" w:hanging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Срок поставки по конкретной заявке устанавливается в зая</w:t>
            </w:r>
            <w:r>
              <w:rPr>
                <w:color w:val="000000"/>
                <w:shd w:fill="FFFFFF" w:val="clear"/>
              </w:rPr>
              <w:t xml:space="preserve">вке. Заявка на соответствующую партию продукции направляется по факсу/электронной почте/нарочно Поставщику в срок не менее 60 календарных дней до даты поставки. Конечный срок поставки по договору не позднее 16.07.2026 г. </w:t>
            </w:r>
          </w:p>
          <w:p>
            <w:pPr>
              <w:pStyle w:val="ListParagraph"/>
              <w:widowControl w:val="false"/>
              <w:spacing w:lineRule="auto" w:line="264"/>
              <w:ind w:left="0" w:hanging="0"/>
              <w:jc w:val="both"/>
              <w:rPr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Ориентировочное количе</w:t>
            </w:r>
            <w:r>
              <w:rPr>
                <w:shd w:fill="FFFFFF" w:val="clear"/>
              </w:rPr>
              <w:t>ство заявок -2шт.*</w:t>
            </w:r>
            <w:bookmarkStart w:id="16" w:name="_Toc54785622"/>
            <w:bookmarkEnd w:id="16"/>
          </w:p>
        </w:tc>
      </w:tr>
      <w:tr>
        <w:trPr/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hd w:fill="FFFFFF" w:val="clear"/>
              </w:rPr>
            </w:pPr>
            <w:r>
              <w:rPr>
                <w:sz w:val="24"/>
                <w:szCs w:val="24"/>
              </w:rPr>
              <w:t>* срок установлен в соответствии с условиями договора, указанного в п. 1.2.2. "Технических требований".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5"/>
        </w:numPr>
        <w:rPr>
          <w:shd w:fill="FFFFFF" w:val="clear"/>
        </w:rPr>
      </w:pPr>
      <w:bookmarkStart w:id="17" w:name="_Toc51339698"/>
      <w:bookmarkStart w:id="18" w:name="_Toc75446581"/>
      <w:bookmarkStart w:id="19" w:name="_Toc46743511"/>
      <w:bookmarkStart w:id="20" w:name="_Toc547856221"/>
      <w:bookmarkEnd w:id="20"/>
      <w:r>
        <w:rPr>
          <w:shd w:fill="FFFFFF" w:val="clear"/>
        </w:rPr>
        <w:t xml:space="preserve">Требования к </w:t>
      </w:r>
      <w:bookmarkEnd w:id="19"/>
      <w:r>
        <w:rPr>
          <w:shd w:fill="FFFFFF" w:val="clear"/>
          <w:lang w:val="ru-RU"/>
        </w:rPr>
        <w:t>качеству продукции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hd w:fill="FFFFFF" w:val="clear"/>
        </w:rPr>
      </w:pPr>
      <w:bookmarkStart w:id="21" w:name="_Toc75446582"/>
      <w:r>
        <w:rPr>
          <w:sz w:val="24"/>
          <w:szCs w:val="24"/>
          <w:shd w:fill="FFFFFF" w:val="clear"/>
        </w:rPr>
        <w:t>Таблица </w:t>
      </w:r>
      <w:r>
        <w:rPr>
          <w:sz w:val="24"/>
          <w:szCs w:val="24"/>
          <w:shd w:fill="FFFFFF" w:val="clear"/>
          <w:lang w:val="ru-RU"/>
        </w:rPr>
        <w:t>3</w:t>
      </w:r>
      <w:r>
        <w:rPr>
          <w:sz w:val="24"/>
          <w:szCs w:val="24"/>
          <w:shd w:fill="FFFFFF" w:val="clear"/>
        </w:rPr>
        <w:t xml:space="preserve">. Требования к </w:t>
      </w:r>
      <w:r>
        <w:rPr>
          <w:sz w:val="24"/>
          <w:szCs w:val="24"/>
          <w:shd w:fill="FFFFFF" w:val="clear"/>
          <w:lang w:val="ru-RU"/>
        </w:rPr>
        <w:t>продукции</w:t>
      </w:r>
      <w:bookmarkEnd w:id="21"/>
      <w:r>
        <w:rPr>
          <w:sz w:val="24"/>
          <w:szCs w:val="24"/>
          <w:shd w:fill="FFFFFF" w:val="clear"/>
        </w:rPr>
        <w:t xml:space="preserve"> </w:t>
      </w:r>
      <w:bookmarkEnd w:id="17"/>
    </w:p>
    <w:p>
      <w:pPr>
        <w:pStyle w:val="Normal"/>
        <w:jc w:val="both"/>
        <w:rPr>
          <w:shd w:fill="FFFFFF" w:val="clear"/>
        </w:rPr>
      </w:pPr>
      <w:r>
        <w:rPr>
          <w:b/>
          <w:bCs/>
          <w:iCs/>
          <w:sz w:val="24"/>
          <w:szCs w:val="24"/>
          <w:shd w:fill="FFFFFF" w:val="clear"/>
        </w:rPr>
        <w:t>Наименование продукции (позиции № 1-2 Таблицы 1.1. «Перечень и объем закупаемой продукции»):</w:t>
      </w:r>
      <w:r>
        <w:rPr/>
        <w:t xml:space="preserve"> </w:t>
      </w:r>
      <w:r>
        <w:rPr>
          <w:bCs/>
          <w:iCs/>
          <w:sz w:val="24"/>
          <w:szCs w:val="24"/>
          <w:shd w:fill="FFFFFF" w:val="clear"/>
        </w:rPr>
        <w:t>ОКПД2 19.20.29.119 Поставка масла турбинного для нужд Саратовского филиала</w:t>
      </w:r>
    </w:p>
    <w:tbl>
      <w:tblPr>
        <w:tblStyle w:val="affff5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7"/>
        <w:gridCol w:w="1886"/>
        <w:gridCol w:w="993"/>
        <w:gridCol w:w="4174"/>
        <w:gridCol w:w="3344"/>
        <w:gridCol w:w="3647"/>
      </w:tblGrid>
      <w:tr>
        <w:trPr/>
        <w:tc>
          <w:tcPr>
            <w:tcW w:w="6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1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41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381" w:hRule="atLeast"/>
        </w:trPr>
        <w:tc>
          <w:tcPr>
            <w:tcW w:w="667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Турбинное масло ТП-30</w:t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en-US" w:eastAsia="ru-RU" w:bidi="ar-SA"/>
              </w:rPr>
              <w:t>М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арка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ТП-30 </w:t>
            </w:r>
          </w:p>
        </w:tc>
        <w:tc>
          <w:tcPr>
            <w:tcW w:w="334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  <w:bookmarkStart w:id="22" w:name="_GoBack"/>
            <w:bookmarkStart w:id="23" w:name="_GoBack"/>
            <w:bookmarkEnd w:id="23"/>
          </w:p>
        </w:tc>
      </w:tr>
      <w:tr>
        <w:trPr>
          <w:trHeight w:val="120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en-US" w:eastAsia="ru-RU" w:bidi="ar-SA"/>
              </w:rPr>
              <w:t>ГОСТ</w:t>
            </w:r>
          </w:p>
        </w:tc>
        <w:tc>
          <w:tcPr>
            <w:tcW w:w="417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9972-2020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490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Тара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Еврокуб  (номинальным объёмом 1000 литров) или бочки  (номинальным объёмом) от 180 до 220 литров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608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Класс чистоты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13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 xml:space="preserve">по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ГОСТ17216-2001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608" w:hRule="atLeast"/>
        </w:trPr>
        <w:tc>
          <w:tcPr>
            <w:tcW w:w="667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Турбинное масло ТП-30</w:t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en-US" w:eastAsia="ru-RU" w:bidi="ar-SA"/>
              </w:rPr>
              <w:t>М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арка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ТП-30 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608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en-US" w:eastAsia="ru-RU" w:bidi="ar-SA"/>
              </w:rPr>
              <w:t>ГОСТ</w:t>
            </w:r>
          </w:p>
        </w:tc>
        <w:tc>
          <w:tcPr>
            <w:tcW w:w="417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9972-2020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608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Тара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Еврокуб  (номинальным объёмом 1000 литров) или бочки  (номинальным объёмом) от 180 до 220 литров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608" w:hRule="atLeast"/>
        </w:trPr>
        <w:tc>
          <w:tcPr>
            <w:tcW w:w="66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Класс чистоты</w:t>
            </w:r>
          </w:p>
        </w:tc>
        <w:tc>
          <w:tcPr>
            <w:tcW w:w="4174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11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 xml:space="preserve">по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ГОСТ17216-2001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705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Требования к доставке, маркировке, упаковке, транспортировке, приемке 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Место поставки</w:t>
            </w:r>
          </w:p>
        </w:tc>
        <w:tc>
          <w:tcPr>
            <w:tcW w:w="41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РФ, 413865, Саратовская обл., г. Балаково, ул. Заовражная д.48.</w:t>
            </w:r>
          </w:p>
        </w:tc>
        <w:tc>
          <w:tcPr>
            <w:tcW w:w="334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2863" w:hRule="atLeast"/>
        </w:trPr>
        <w:tc>
          <w:tcPr>
            <w:tcW w:w="66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Поставка</w:t>
            </w:r>
          </w:p>
        </w:tc>
        <w:tc>
          <w:tcPr>
            <w:tcW w:w="41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Информация о транспорте, на котором осуществляется доставка, для оформления допуска на территорию Филиала ПАО «РусГидро» - «Саратовская ГЭС» предоставляется покупателю не позднее, чем за 2 рабочих дня, предшествующих дню поставки. Транспорт должен иметь возможность разгрузки с верху с применением автокрана.</w:t>
            </w:r>
          </w:p>
        </w:tc>
        <w:tc>
          <w:tcPr>
            <w:tcW w:w="334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>
          <w:trHeight w:val="2863" w:hRule="atLeast"/>
        </w:trPr>
        <w:tc>
          <w:tcPr>
            <w:tcW w:w="667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</w:t>
            </w:r>
          </w:p>
        </w:tc>
        <w:tc>
          <w:tcPr>
            <w:tcW w:w="41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 должна содержать:</w:t>
              <w:br/>
              <w:t>- наименование и местонахождение (юридический адрес, включая страну) изготовителя, его товарный знак (при наличии);</w:t>
              <w:br/>
              <w:t>- наименование, обозначение марки и назначение продукции;</w:t>
              <w:br/>
              <w:t>- обозначение стандарта ГОСТ 9972-2020;</w:t>
              <w:br/>
              <w:t>- объем или массу масла в упаковочной единице (для потребительской упаковки);</w:t>
              <w:br/>
              <w:t>- массу нетто и массу брутто упаковочной единицы (для транспортной упаковки);</w:t>
              <w:br/>
              <w:t>- срок и условия хранения;</w:t>
              <w:br/>
              <w:t>- дату изготовления;</w:t>
              <w:br/>
              <w:t>- номер партии;</w:t>
            </w:r>
          </w:p>
        </w:tc>
        <w:tc>
          <w:tcPr>
            <w:tcW w:w="334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Приемка</w:t>
            </w:r>
          </w:p>
        </w:tc>
        <w:tc>
          <w:tcPr>
            <w:tcW w:w="4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705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Гарантия</w:t>
            </w:r>
          </w:p>
        </w:tc>
        <w:tc>
          <w:tcPr>
            <w:tcW w:w="4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705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6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8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4174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 поставке предоставляется: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паспорт и сертификат соответствия, на русском языке на каждую партию продукции.</w:t>
            </w:r>
          </w:p>
        </w:tc>
        <w:tc>
          <w:tcPr>
            <w:tcW w:w="33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64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</w:tr>
    </w:tbl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center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3</w:t>
      </w:r>
      <w:r>
        <w:rPr>
          <w:sz w:val="24"/>
          <w:szCs w:val="24"/>
          <w:shd w:fill="FFFFFF" w:val="clear"/>
        </w:rPr>
        <w:t>.</w:t>
        <w:tab/>
      </w:r>
      <w:r>
        <w:rPr>
          <w:b/>
          <w:sz w:val="24"/>
          <w:szCs w:val="24"/>
          <w:shd w:fill="FFFFFF" w:val="clear"/>
        </w:rPr>
        <w:t>Требования к документации по ценообразованию на этапе закупки.</w:t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74326A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4326A8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98E4-54B0-4FCB-A8A9-FCBC68CD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5</Pages>
  <Words>723</Words>
  <Characters>4962</Characters>
  <CharactersWithSpaces>5587</CharactersWithSpaces>
  <Paragraphs>105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2025-11-24T07:05:00Z</dcterms:created>
  <dc:creator>Быстров Олег Геннадьевич</dc:creator>
  <dc:description/>
  <dc:language>ru-RU</dc:language>
  <cp:lastModifiedBy>Шакиров Олег Юрьевич</cp:lastModifiedBy>
  <cp:lastPrinted>2025-06-06T03:35:00Z</cp:lastPrinted>
  <dcterms:modified xsi:type="dcterms:W3CDTF">2025-11-24T07:05:00Z</dcterms:modified>
  <cp:revision>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