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word/_rels/document.xml.rels" ContentType="application/vnd.openxmlformats-package.relationships+xml"/>
  <Override PartName="/word/footer5.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4.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notes.xml" ContentType="application/vnd.openxmlformats-officedocument.wordprocessingml.footnotes+xml"/>
  <Override PartName="/word/fontTable.xml" ContentType="application/vnd.openxmlformats-officedocument.wordprocessingml.fontTable+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oter7.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theme/theme1.xml" ContentType="application/vnd.openxmlformats-officedocument.theme+xml"/>
  <Override PartName="/word/header4.xml" ContentType="application/vnd.openxmlformats-officedocument.wordprocessingml.header+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numPr>
          <w:ilvl w:val="0"/>
          <w:numId w:val="0"/>
        </w:numPr>
        <w:spacing w:before="0" w:after="120"/>
        <w:ind w:left="0" w:hanging="0"/>
        <w:outlineLvl w:val="0"/>
        <w:rPr/>
      </w:pPr>
      <w:r>
        <w:rPr>
          <w:sz w:val="24"/>
        </w:rPr>
        <w:t>Договор поставки № _______</w:t>
      </w:r>
    </w:p>
    <w:p>
      <w:pPr>
        <w:pStyle w:val="Normal"/>
        <w:widowControl/>
        <w:shd w:val="clear" w:color="auto" w:fill="FFFFFF"/>
        <w:tabs>
          <w:tab w:val="clear" w:pos="720"/>
          <w:tab w:val="left" w:pos="3060" w:leader="none"/>
          <w:tab w:val="left" w:pos="6519" w:leader="none"/>
        </w:tabs>
        <w:suppressAutoHyphens w:val="true"/>
        <w:bidi w:val="0"/>
        <w:spacing w:before="0" w:after="120"/>
        <w:ind w:left="0" w:right="0" w:firstLine="567"/>
        <w:jc w:val="left"/>
        <w:rPr/>
      </w:pPr>
      <w:r>
        <w:rPr>
          <w:sz w:val="24"/>
          <w:szCs w:val="24"/>
        </w:rPr>
        <w:t>г. Балаково</w:t>
        <w:tab/>
        <w:tab/>
        <w:t>«___</w:t>
      </w:r>
      <w:r>
        <w:rPr>
          <w:rStyle w:val="FootnoteReference"/>
          <w:b/>
          <w:sz w:val="24"/>
          <w:szCs w:val="24"/>
        </w:rPr>
        <w:footnoteReference w:id="2"/>
      </w:r>
      <w:r>
        <w:rPr>
          <w:sz w:val="24"/>
          <w:szCs w:val="24"/>
        </w:rPr>
        <w:t>» __________ 20__ года</w:t>
      </w:r>
    </w:p>
    <w:p>
      <w:pPr>
        <w:pStyle w:val="Normal"/>
        <w:spacing w:before="0" w:after="120"/>
        <w:ind w:firstLine="567"/>
        <w:jc w:val="both"/>
        <w:rPr/>
      </w:pPr>
      <w:r>
        <w:rPr>
          <w:b/>
          <w:sz w:val="24"/>
          <w:szCs w:val="24"/>
        </w:rPr>
        <w:t xml:space="preserve">Акционерное общество «Гидроремонт-ВКК» (АО «Гидроремонт-ВКК»), </w:t>
      </w:r>
      <w:r>
        <w:rPr>
          <w:sz w:val="24"/>
          <w:szCs w:val="24"/>
        </w:rPr>
        <w:t>именуемое в дальнейшем «</w:t>
      </w:r>
      <w:r>
        <w:rPr>
          <w:b/>
          <w:sz w:val="24"/>
          <w:szCs w:val="24"/>
        </w:rPr>
        <w:t>Покупатель</w:t>
      </w:r>
      <w:r>
        <w:rPr>
          <w:sz w:val="24"/>
          <w:szCs w:val="24"/>
        </w:rPr>
        <w:t>», в лице ___________________________________________________</w:t>
      </w:r>
      <w:r>
        <w:rPr>
          <w:color w:val="000000"/>
          <w:sz w:val="24"/>
          <w:szCs w:val="24"/>
        </w:rPr>
        <w:t>, действующего на основании доверенности № __ от __.__.20__ г.</w:t>
      </w:r>
      <w:r>
        <w:rPr>
          <w:sz w:val="24"/>
          <w:szCs w:val="24"/>
        </w:rPr>
        <w:t>, с одной стороны, и</w:t>
      </w:r>
    </w:p>
    <w:p>
      <w:pPr>
        <w:pStyle w:val="Normal"/>
        <w:spacing w:before="0" w:after="120"/>
        <w:ind w:firstLine="567"/>
        <w:jc w:val="both"/>
        <w:rPr>
          <w:highlight w:val="none"/>
          <w:shd w:fill="auto" w:val="clear"/>
        </w:rPr>
      </w:pPr>
      <w:r>
        <w:rPr>
          <w:b/>
          <w:sz w:val="24"/>
          <w:szCs w:val="24"/>
          <w:shd w:fill="auto" w:val="clear"/>
        </w:rPr>
        <w:t>________________(___________),</w:t>
      </w:r>
      <w:r>
        <w:rPr>
          <w:sz w:val="24"/>
          <w:szCs w:val="24"/>
          <w:shd w:fill="auto" w:val="clear"/>
        </w:rPr>
        <w:t xml:space="preserve"> именуемое в дальнейшем «</w:t>
      </w:r>
      <w:r>
        <w:rPr>
          <w:b/>
          <w:sz w:val="24"/>
          <w:szCs w:val="24"/>
          <w:shd w:fill="auto" w:val="clear"/>
        </w:rPr>
        <w:t>Поставщик</w:t>
      </w:r>
      <w:r>
        <w:rPr>
          <w:sz w:val="24"/>
          <w:szCs w:val="24"/>
          <w:shd w:fill="auto" w:val="clear"/>
        </w:rPr>
        <w:t>», в лице ________________, действующего на основании ______________, с другой стороны,</w:t>
      </w:r>
    </w:p>
    <w:p>
      <w:pPr>
        <w:pStyle w:val="Normal"/>
        <w:spacing w:before="0" w:after="120"/>
        <w:ind w:firstLine="567"/>
        <w:jc w:val="both"/>
        <w:rPr/>
      </w:pPr>
      <w:r>
        <w:rPr>
          <w:bCs/>
          <w:sz w:val="24"/>
          <w:szCs w:val="24"/>
          <w:shd w:fill="auto" w:val="clear"/>
        </w:rPr>
        <w:t xml:space="preserve">совместно в дальнейшем именуемые «Стороны», а по отдельности – «Сторона», </w:t>
      </w:r>
      <w:r>
        <w:rPr>
          <w:bCs/>
          <w:color w:val="000000"/>
          <w:sz w:val="24"/>
          <w:szCs w:val="24"/>
          <w:shd w:fill="auto" w:val="clear"/>
        </w:rPr>
        <w:t xml:space="preserve">по результатам проведенной Покупателем нерегламентированной закупочной процедуры по лоту № </w:t>
      </w:r>
      <w:r>
        <w:rPr>
          <w:rFonts w:cs="Times New Roman"/>
          <w:b w:val="false"/>
          <w:bCs w:val="false"/>
          <w:color w:val="000000"/>
          <w:sz w:val="24"/>
          <w:szCs w:val="24"/>
          <w:shd w:fill="auto" w:val="clear"/>
          <w:lang w:eastAsia="ru-RU"/>
        </w:rPr>
        <w:t>________________________________________</w:t>
      </w:r>
      <w:r>
        <w:rPr>
          <w:bCs/>
          <w:color w:val="000000"/>
          <w:sz w:val="24"/>
          <w:szCs w:val="24"/>
          <w:shd w:fill="auto" w:val="clear"/>
        </w:rPr>
        <w:t>, что подтверждается аналитической запиской от __.__.20__ г., заключили настоящий Договор (далее – «Договор») о нижеследующем:</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bCs/>
          <w:sz w:val="24"/>
          <w:szCs w:val="24"/>
        </w:rPr>
      </w:pPr>
      <w:r>
        <w:rPr>
          <w:b/>
          <w:bCs/>
          <w:sz w:val="24"/>
          <w:szCs w:val="24"/>
        </w:rPr>
        <w:t>Предмет Договора</w:t>
      </w:r>
    </w:p>
    <w:p>
      <w:pPr>
        <w:pStyle w:val="Title"/>
        <w:numPr>
          <w:ilvl w:val="1"/>
          <w:numId w:val="6"/>
        </w:numPr>
        <w:tabs>
          <w:tab w:val="clear" w:pos="720"/>
          <w:tab w:val="left" w:pos="142" w:leader="none"/>
        </w:tabs>
        <w:spacing w:before="0" w:after="120"/>
        <w:ind w:left="0" w:firstLine="567"/>
        <w:jc w:val="both"/>
        <w:rPr>
          <w:b w:val="false"/>
          <w:sz w:val="24"/>
        </w:rPr>
      </w:pPr>
      <w:r>
        <w:rPr>
          <w:b w:val="false"/>
          <w:sz w:val="24"/>
        </w:rPr>
        <w:t xml:space="preserve">Поставщик обязуется передать Покупателю </w:t>
      </w:r>
      <w:r>
        <w:rPr>
          <w:rFonts w:eastAsia="Times New Roman" w:cs="Times New Roman"/>
          <w:b/>
          <w:bCs/>
          <w:sz w:val="24"/>
          <w:szCs w:val="24"/>
          <w:lang w:val="ru-RU" w:eastAsia="ru-RU"/>
        </w:rPr>
        <w:t>промышленный водонагревател</w:t>
      </w:r>
      <w:r>
        <w:rPr>
          <w:rFonts w:eastAsia="Times New Roman" w:cs="Times New Roman"/>
          <w:b/>
          <w:bCs/>
          <w:color w:val="000000"/>
          <w:sz w:val="24"/>
          <w:szCs w:val="24"/>
          <w:shd w:fill="auto" w:val="clear"/>
          <w:lang w:val="ru-RU" w:eastAsia="en-US"/>
        </w:rPr>
        <w:t>ь</w:t>
      </w:r>
      <w:r>
        <w:rPr>
          <w:b w:val="false"/>
          <w:sz w:val="24"/>
          <w:szCs w:val="24"/>
        </w:rPr>
        <w:t xml:space="preserve"> </w:t>
      </w:r>
      <w:r>
        <w:rPr>
          <w:b w:val="false"/>
          <w:sz w:val="24"/>
        </w:rPr>
        <w:t>(далее – «Продукция») на условиях, согласованных Сторонами в Договоре, в соответствии со Спецификацией (</w:t>
      </w:r>
      <w:r>
        <w:rPr>
          <w:sz w:val="24"/>
        </w:rPr>
        <w:t>Приложение № 1</w:t>
      </w:r>
      <w:r>
        <w:rPr>
          <w:b w:val="false"/>
          <w:sz w:val="24"/>
        </w:rPr>
        <w:t xml:space="preserve">) </w:t>
      </w:r>
      <w:r>
        <w:rPr>
          <w:b w:val="false"/>
          <w:sz w:val="24"/>
          <w:shd w:fill="auto" w:val="clear"/>
        </w:rPr>
        <w:t>и Техническими требованиями (</w:t>
      </w:r>
      <w:r>
        <w:rPr>
          <w:sz w:val="24"/>
          <w:shd w:fill="auto" w:val="clear"/>
        </w:rPr>
        <w:t>Приложение № 2</w:t>
      </w:r>
      <w:r>
        <w:rPr>
          <w:b w:val="false"/>
          <w:sz w:val="24"/>
          <w:shd w:fill="auto" w:val="clear"/>
        </w:rPr>
        <w:t>), а Покупатель обязуется принять и оплатить Продукцию в установленном Договором порядке.</w:t>
      </w:r>
    </w:p>
    <w:p>
      <w:pPr>
        <w:pStyle w:val="Title"/>
        <w:numPr>
          <w:ilvl w:val="1"/>
          <w:numId w:val="6"/>
        </w:numPr>
        <w:shd w:val="clear" w:color="auto" w:fill="FFFFFF"/>
        <w:tabs>
          <w:tab w:val="clear" w:pos="720"/>
          <w:tab w:val="left" w:pos="142" w:leader="none"/>
          <w:tab w:val="left" w:pos="540" w:leader="none"/>
        </w:tabs>
        <w:spacing w:before="120" w:after="120"/>
        <w:ind w:left="0" w:firstLine="567"/>
        <w:jc w:val="both"/>
        <w:rPr>
          <w:b w:val="false"/>
          <w:sz w:val="24"/>
        </w:rPr>
      </w:pPr>
      <w:r>
        <w:rPr>
          <w:b w:val="false"/>
          <w:sz w:val="24"/>
        </w:rPr>
        <w:t>Поставка осуществляется одной партией.</w:t>
      </w:r>
    </w:p>
    <w:p>
      <w:pPr>
        <w:pStyle w:val="ListParagraph"/>
        <w:numPr>
          <w:ilvl w:val="1"/>
          <w:numId w:val="6"/>
        </w:numPr>
        <w:shd w:val="clear" w:color="auto" w:fill="FFFFFF"/>
        <w:tabs>
          <w:tab w:val="clear" w:pos="720"/>
          <w:tab w:val="left" w:pos="142" w:leader="none"/>
          <w:tab w:val="left" w:pos="540" w:leader="none"/>
        </w:tabs>
        <w:spacing w:before="0" w:after="120"/>
        <w:ind w:left="0" w:firstLine="567"/>
        <w:contextualSpacing w:val="false"/>
        <w:jc w:val="both"/>
        <w:rPr>
          <w:sz w:val="24"/>
          <w:szCs w:val="24"/>
        </w:rPr>
      </w:pPr>
      <w:r>
        <w:rPr>
          <w:sz w:val="24"/>
          <w:szCs w:val="24"/>
        </w:rPr>
        <w:t>Поставка по Договору выполняется для нужд Саратовского филиала АО «Гидроремонт-ВКК» в г. Балаково.</w:t>
      </w:r>
    </w:p>
    <w:p>
      <w:pPr>
        <w:pStyle w:val="ListParagraph"/>
        <w:numPr>
          <w:ilvl w:val="1"/>
          <w:numId w:val="6"/>
        </w:numPr>
        <w:shd w:val="clear" w:color="auto" w:fill="FFFFFF"/>
        <w:tabs>
          <w:tab w:val="clear" w:pos="720"/>
          <w:tab w:val="left" w:pos="142" w:leader="none"/>
          <w:tab w:val="left" w:pos="540" w:leader="none"/>
        </w:tabs>
        <w:spacing w:before="0" w:after="120"/>
        <w:ind w:left="0" w:firstLine="567"/>
        <w:contextualSpacing w:val="false"/>
        <w:jc w:val="both"/>
        <w:rPr>
          <w:sz w:val="24"/>
          <w:szCs w:val="24"/>
        </w:rPr>
      </w:pPr>
      <w:r>
        <w:rPr>
          <w:sz w:val="24"/>
          <w:szCs w:val="24"/>
        </w:rPr>
        <w:t xml:space="preserve">Место поставки: </w:t>
      </w:r>
      <w:r>
        <w:rPr>
          <w:rFonts w:eastAsia="Times New Roman" w:cs="Times New Roman"/>
          <w:color w:val="1C1C1C"/>
          <w:sz w:val="24"/>
          <w:szCs w:val="24"/>
          <w:lang w:eastAsia="ru-RU"/>
        </w:rPr>
        <w:t>РФ, 413865, Саратовская обл., г. Балаково, ул. Заовражная, д.48</w:t>
      </w:r>
      <w:r>
        <w:rPr>
          <w:sz w:val="24"/>
          <w:szCs w:val="24"/>
        </w:rPr>
        <w:t xml:space="preserve"> (далее – «Место поставки»).</w:t>
      </w:r>
    </w:p>
    <w:p>
      <w:pPr>
        <w:pStyle w:val="ListParagraph"/>
        <w:numPr>
          <w:ilvl w:val="1"/>
          <w:numId w:val="6"/>
        </w:numPr>
        <w:shd w:val="clear" w:color="auto" w:fill="FFFFFF"/>
        <w:tabs>
          <w:tab w:val="clear" w:pos="720"/>
          <w:tab w:val="left" w:pos="142" w:leader="none"/>
          <w:tab w:val="left" w:pos="540" w:leader="none"/>
        </w:tabs>
        <w:spacing w:before="0" w:after="120"/>
        <w:ind w:left="0" w:firstLine="567"/>
        <w:contextualSpacing w:val="false"/>
        <w:jc w:val="both"/>
        <w:rPr>
          <w:sz w:val="24"/>
          <w:szCs w:val="24"/>
        </w:rPr>
      </w:pPr>
      <w:r>
        <w:rPr>
          <w:sz w:val="24"/>
          <w:szCs w:val="24"/>
        </w:rPr>
        <w:t>Срок поставки Продукции по Договору: в</w:t>
      </w:r>
      <w:r>
        <w:rPr>
          <w:rFonts w:eastAsia="Times New Roman" w:cs="Times New Roman"/>
          <w:sz w:val="24"/>
          <w:szCs w:val="24"/>
          <w:lang w:eastAsia="ru-RU"/>
        </w:rPr>
        <w:t xml:space="preserve"> течение  ( </w:t>
      </w:r>
      <w:r>
        <w:rPr>
          <w:rFonts w:eastAsia="Times New Roman" w:cs="Times New Roman"/>
          <w:sz w:val="24"/>
          <w:szCs w:val="24"/>
          <w:lang w:eastAsia="ru-RU"/>
        </w:rPr>
        <w:t>___________</w:t>
      </w:r>
      <w:r>
        <w:rPr>
          <w:rFonts w:eastAsia="Times New Roman" w:cs="Times New Roman"/>
          <w:sz w:val="24"/>
          <w:szCs w:val="24"/>
          <w:lang w:eastAsia="ru-RU"/>
        </w:rPr>
        <w:t>) календарных дней с даты подписания Договора Сторонами</w:t>
      </w:r>
      <w:r>
        <w:rPr>
          <w:sz w:val="24"/>
          <w:szCs w:val="24"/>
          <w:shd w:fill="auto" w:val="clear"/>
        </w:rPr>
        <w:t>.</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Цена Договора и порядок оплаты</w:t>
      </w:r>
    </w:p>
    <w:p>
      <w:pPr>
        <w:pStyle w:val="ListParagraph"/>
        <w:numPr>
          <w:ilvl w:val="1"/>
          <w:numId w:val="6"/>
        </w:numPr>
        <w:shd w:val="clear" w:color="auto" w:fill="FFFFFF"/>
        <w:tabs>
          <w:tab w:val="clear" w:pos="720"/>
          <w:tab w:val="left" w:pos="0" w:leader="none"/>
          <w:tab w:val="left" w:pos="851" w:leader="none"/>
        </w:tabs>
        <w:spacing w:before="0" w:after="120"/>
        <w:ind w:left="0" w:firstLine="567"/>
        <w:contextualSpacing w:val="false"/>
        <w:jc w:val="both"/>
        <w:rPr>
          <w:sz w:val="24"/>
          <w:szCs w:val="24"/>
        </w:rPr>
      </w:pPr>
      <w:r>
        <w:rPr>
          <w:sz w:val="24"/>
          <w:szCs w:val="24"/>
        </w:rPr>
        <w:t xml:space="preserve">Общая стоимость Продукции (далее – «Цена Договора») по Договору составляет __________(__________________) рублей _____ копеек </w:t>
      </w:r>
      <w:r>
        <w:rPr>
          <w:bCs/>
          <w:sz w:val="24"/>
          <w:szCs w:val="24"/>
          <w:u w:val="single"/>
          <w:shd w:fill="auto" w:val="clear"/>
        </w:rPr>
        <w:t>без учёта НДС, при этом НДС исчисляется дополнительно по ставке, установленной ст.164 Налогового кодекса РФ.</w:t>
      </w:r>
      <w:r>
        <w:rPr>
          <w:rStyle w:val="FootnoteReference"/>
          <w:bCs/>
          <w:sz w:val="24"/>
          <w:szCs w:val="28"/>
          <w:u w:val="single"/>
          <w:shd w:fill="auto" w:val="clear"/>
        </w:rPr>
        <w:footnoteReference w:id="3"/>
      </w:r>
    </w:p>
    <w:p>
      <w:pPr>
        <w:pStyle w:val="Normal"/>
        <w:numPr>
          <w:ilvl w:val="1"/>
          <w:numId w:val="6"/>
        </w:numPr>
        <w:tabs>
          <w:tab w:val="clear" w:pos="720"/>
          <w:tab w:val="left" w:pos="0" w:leader="none"/>
          <w:tab w:val="left" w:pos="426" w:leader="none"/>
          <w:tab w:val="left" w:pos="851" w:leader="none"/>
        </w:tabs>
        <w:spacing w:before="0" w:after="120"/>
        <w:ind w:left="0" w:firstLine="567"/>
        <w:jc w:val="both"/>
        <w:rPr>
          <w:highlight w:val="none"/>
          <w:shd w:fill="auto" w:val="clear"/>
        </w:rPr>
      </w:pPr>
      <w:r>
        <w:rPr>
          <w:bCs/>
          <w:sz w:val="24"/>
          <w:szCs w:val="24"/>
          <w:shd w:fill="auto" w:val="clear"/>
        </w:rPr>
        <w:t xml:space="preserve">Цена Договора включает в себя </w:t>
      </w:r>
      <w:r>
        <w:rPr>
          <w:sz w:val="24"/>
          <w:szCs w:val="24"/>
          <w:shd w:fill="auto" w:val="clear"/>
        </w:rPr>
        <w:t xml:space="preserve">стоимость Продукции, </w:t>
      </w:r>
      <w:r>
        <w:rPr>
          <w:bCs/>
          <w:sz w:val="24"/>
          <w:szCs w:val="24"/>
          <w:shd w:fill="auto" w:val="clear"/>
        </w:rPr>
        <w:t xml:space="preserve">прибыль Поставщика, а также расходы Поставщика на производство или приобретение, транспортировку Продукции до Места поставки, погрузку, разгрузку, перемещение по территории Покупателя, стоимость тары и упаковки, лицензий, сертификации, паспортизации, испытаний, необходимых для использования Продукции (если применимо), </w:t>
      </w:r>
      <w:r>
        <w:rPr>
          <w:sz w:val="24"/>
          <w:szCs w:val="24"/>
          <w:shd w:fill="auto" w:val="clear"/>
        </w:rPr>
        <w:t xml:space="preserve">подлежащие уплате налоги, сборы и пошлины (в т.ч. по таможенному оформлению, если применимо), </w:t>
      </w:r>
      <w:r>
        <w:rPr>
          <w:bCs/>
          <w:sz w:val="24"/>
          <w:szCs w:val="24"/>
          <w:shd w:fill="auto" w:val="clear"/>
        </w:rPr>
        <w:t xml:space="preserve">а также </w:t>
      </w:r>
      <w:r>
        <w:rPr>
          <w:sz w:val="24"/>
          <w:szCs w:val="24"/>
          <w:shd w:fill="auto" w:val="clear"/>
        </w:rPr>
        <w:t xml:space="preserve">все прочие затраты и расходы Поставщика, в том числе страхование груза, получение разрешений и другие сборы связанные с поставкой Продукции и исполнением иных обязательств по Договору. </w:t>
      </w:r>
    </w:p>
    <w:p>
      <w:pPr>
        <w:pStyle w:val="ListParagraph"/>
        <w:numPr>
          <w:ilvl w:val="1"/>
          <w:numId w:val="6"/>
        </w:numPr>
        <w:shd w:val="clear" w:color="auto" w:fill="FFFFFF"/>
        <w:tabs>
          <w:tab w:val="clear" w:pos="720"/>
          <w:tab w:val="left" w:pos="1020" w:leader="none"/>
        </w:tabs>
        <w:spacing w:before="0" w:after="120"/>
        <w:ind w:left="0" w:firstLine="567"/>
        <w:contextualSpacing w:val="false"/>
        <w:jc w:val="both"/>
        <w:rPr/>
      </w:pPr>
      <w:r>
        <w:rPr>
          <w:sz w:val="24"/>
          <w:szCs w:val="24"/>
        </w:rPr>
        <w:t>Стоимость Продукции является фиксированной и не подлежит изменению.</w:t>
      </w:r>
    </w:p>
    <w:p>
      <w:pPr>
        <w:pStyle w:val="ListParagraph"/>
        <w:numPr>
          <w:ilvl w:val="1"/>
          <w:numId w:val="6"/>
        </w:numPr>
        <w:shd w:val="clear" w:color="auto" w:fill="FFFFFF"/>
        <w:tabs>
          <w:tab w:val="clear" w:pos="720"/>
          <w:tab w:val="left" w:pos="1020" w:leader="none"/>
        </w:tabs>
        <w:spacing w:before="0" w:after="120"/>
        <w:ind w:left="0" w:firstLine="567"/>
        <w:contextualSpacing w:val="false"/>
        <w:jc w:val="both"/>
        <w:rPr>
          <w:sz w:val="24"/>
          <w:szCs w:val="24"/>
        </w:rPr>
      </w:pPr>
      <w:r>
        <w:rPr>
          <w:sz w:val="24"/>
          <w:szCs w:val="24"/>
        </w:rPr>
        <w:t>Стоимость единицы Продукции определяется Спецификацией (</w:t>
      </w:r>
      <w:r>
        <w:rPr>
          <w:b/>
          <w:sz w:val="24"/>
          <w:szCs w:val="24"/>
        </w:rPr>
        <w:t>Приложение № 1</w:t>
      </w:r>
      <w:r>
        <w:rPr>
          <w:sz w:val="24"/>
          <w:szCs w:val="24"/>
        </w:rPr>
        <w:t>).</w:t>
      </w:r>
    </w:p>
    <w:p>
      <w:pPr>
        <w:pStyle w:val="ListParagraph"/>
        <w:numPr>
          <w:ilvl w:val="1"/>
          <w:numId w:val="6"/>
        </w:numPr>
        <w:shd w:val="clear" w:color="auto" w:fill="FFFFFF"/>
        <w:tabs>
          <w:tab w:val="clear" w:pos="720"/>
          <w:tab w:val="left" w:pos="0" w:leader="none"/>
          <w:tab w:val="left" w:pos="851" w:leader="none"/>
        </w:tabs>
        <w:spacing w:before="0" w:after="120"/>
        <w:ind w:left="0" w:firstLine="567"/>
        <w:contextualSpacing w:val="false"/>
        <w:jc w:val="both"/>
        <w:rPr>
          <w:sz w:val="24"/>
          <w:szCs w:val="24"/>
        </w:rPr>
      </w:pPr>
      <w:r>
        <w:rPr>
          <w:sz w:val="24"/>
          <w:szCs w:val="24"/>
        </w:rPr>
        <w:t>Оплата в соответствии с Договором осуществляется следующим образом:</w:t>
      </w:r>
    </w:p>
    <w:p>
      <w:pPr>
        <w:pStyle w:val="Normal"/>
        <w:shd w:val="clear" w:color="auto" w:fill="FFFFFF"/>
        <w:tabs>
          <w:tab w:val="clear" w:pos="720"/>
          <w:tab w:val="left" w:pos="567" w:leader="none"/>
          <w:tab w:val="left" w:pos="1440" w:leader="none"/>
        </w:tabs>
        <w:spacing w:before="0" w:after="120"/>
        <w:jc w:val="both"/>
        <w:rPr>
          <w:sz w:val="24"/>
          <w:szCs w:val="24"/>
        </w:rPr>
      </w:pPr>
      <w:r>
        <w:rPr>
          <w:sz w:val="24"/>
          <w:szCs w:val="24"/>
        </w:rPr>
        <w:tab/>
        <w:t xml:space="preserve">Платеж в размере 100% (сто процентов) от стоимости поставленной Продукции </w:t>
      </w:r>
      <w:r>
        <w:rPr>
          <w:sz w:val="24"/>
          <w:szCs w:val="24"/>
          <w:u w:val="single"/>
        </w:rPr>
        <w:t>б</w:t>
      </w:r>
      <w:r>
        <w:rPr>
          <w:bCs/>
          <w:sz w:val="24"/>
          <w:szCs w:val="24"/>
          <w:u w:val="single"/>
        </w:rPr>
        <w:t xml:space="preserve">ез учёта НДС, </w:t>
      </w:r>
      <w:r>
        <w:rPr>
          <w:sz w:val="24"/>
          <w:szCs w:val="24"/>
          <w:u w:val="single"/>
        </w:rPr>
        <w:t>кроме того НДС по ставке, установленной статьей 164 НК РФ на дату подписания Товарной накладной по форме ТОРГ-12 или Универсального передаточного документа (УПД)</w:t>
      </w:r>
      <w:r>
        <w:rPr>
          <w:sz w:val="24"/>
          <w:szCs w:val="24"/>
          <w:u w:val="single"/>
          <w:vertAlign w:val="superscript"/>
        </w:rPr>
        <w:t>2</w:t>
      </w:r>
      <w:r>
        <w:rPr>
          <w:sz w:val="24"/>
          <w:szCs w:val="24"/>
        </w:rPr>
        <w:t>, согласно Спецификации, производится Покупателем в срок не более 7 (семи) рабочих дней с даты подписания Товарной накладной по форме ТОРГ-12 или Универсального передаточного документа (УПД) на соответствующую Продукцию, при условии получения счета, выставленного Поставщиком с учетом п. 2.6 Договора.</w:t>
      </w:r>
    </w:p>
    <w:p>
      <w:pPr>
        <w:pStyle w:val="ListParagraph"/>
        <w:numPr>
          <w:ilvl w:val="1"/>
          <w:numId w:val="6"/>
        </w:numPr>
        <w:shd w:val="clear" w:color="auto" w:fill="FFFFFF"/>
        <w:tabs>
          <w:tab w:val="clear" w:pos="720"/>
          <w:tab w:val="left" w:pos="0" w:leader="none"/>
          <w:tab w:val="left" w:pos="480" w:leader="none"/>
          <w:tab w:val="left" w:pos="851" w:leader="none"/>
        </w:tabs>
        <w:spacing w:before="0" w:after="120"/>
        <w:ind w:left="0" w:firstLine="567"/>
        <w:contextualSpacing w:val="false"/>
        <w:jc w:val="both"/>
        <w:rPr>
          <w:sz w:val="24"/>
          <w:szCs w:val="24"/>
        </w:rPr>
      </w:pPr>
      <w:r>
        <w:rPr>
          <w:sz w:val="24"/>
          <w:szCs w:val="24"/>
        </w:rPr>
        <w:t>В случае выставления Поставщиком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Поставщиком независимо от его фактического вручения Покупателю. В случае получения Покупателем счета Поставщика позднее чем за 7 (семь) рабочих дней до истечения определенного в Договоре срока на оплату, оплата по счету Поставщика осуществляется в течение 7 (семи) рабочих дней с даты его получения Покупателем.</w:t>
      </w:r>
    </w:p>
    <w:p>
      <w:pPr>
        <w:pStyle w:val="Normal"/>
        <w:widowControl w:val="false"/>
        <w:numPr>
          <w:ilvl w:val="1"/>
          <w:numId w:val="6"/>
        </w:numPr>
        <w:shd w:val="clear" w:color="auto" w:fill="FFFFFF"/>
        <w:tabs>
          <w:tab w:val="clear" w:pos="720"/>
          <w:tab w:val="left" w:pos="1134" w:leader="none"/>
          <w:tab w:val="left" w:pos="1283" w:leader="none"/>
        </w:tabs>
        <w:spacing w:before="0" w:after="113"/>
        <w:ind w:left="0" w:firstLine="567"/>
        <w:jc w:val="both"/>
        <w:rPr>
          <w:sz w:val="24"/>
          <w:szCs w:val="24"/>
        </w:rPr>
      </w:pPr>
      <w:r>
        <w:rPr>
          <w:sz w:val="24"/>
          <w:szCs w:val="24"/>
        </w:rPr>
        <w:t>Оплата производится в валюте Российской Федерации на расчетный счет Поставщика, указанный в Договоре. Обязательство Покупателя по осуществлению платежа считается исполненным с момента списания денежных средств с расчетного счета Покупателя.</w:t>
      </w:r>
    </w:p>
    <w:p>
      <w:pPr>
        <w:pStyle w:val="ListParagraph"/>
        <w:numPr>
          <w:ilvl w:val="1"/>
          <w:numId w:val="6"/>
        </w:numPr>
        <w:shd w:val="clear" w:color="auto" w:fill="FFFFFF"/>
        <w:tabs>
          <w:tab w:val="clear" w:pos="720"/>
          <w:tab w:val="left" w:pos="0" w:leader="none"/>
          <w:tab w:val="left" w:pos="480" w:leader="none"/>
          <w:tab w:val="left" w:pos="851" w:leader="none"/>
        </w:tabs>
        <w:spacing w:before="0" w:after="120"/>
        <w:ind w:left="0" w:firstLine="567"/>
        <w:contextualSpacing w:val="false"/>
        <w:jc w:val="both"/>
        <w:rPr>
          <w:sz w:val="24"/>
          <w:szCs w:val="24"/>
        </w:rPr>
      </w:pPr>
      <w:r>
        <w:rPr>
          <w:sz w:val="24"/>
          <w:szCs w:val="24"/>
        </w:rPr>
        <w:t>По соглашению Сторон возможны иные формы расчетов, не противоречащие законодательству Российской Федерации.</w:t>
      </w:r>
    </w:p>
    <w:p>
      <w:pPr>
        <w:pStyle w:val="Normal"/>
        <w:widowControl w:val="false"/>
        <w:numPr>
          <w:ilvl w:val="1"/>
          <w:numId w:val="6"/>
        </w:numPr>
        <w:shd w:val="clear" w:color="auto" w:fill="FFFFFF"/>
        <w:tabs>
          <w:tab w:val="clear" w:pos="720"/>
          <w:tab w:val="left" w:pos="1134" w:leader="none"/>
          <w:tab w:val="left" w:pos="1283" w:leader="none"/>
        </w:tabs>
        <w:spacing w:before="0" w:after="113"/>
        <w:ind w:left="0" w:firstLine="567"/>
        <w:jc w:val="both"/>
        <w:rPr>
          <w:highlight w:val="none"/>
          <w:shd w:fill="auto" w:val="clear"/>
        </w:rPr>
      </w:pPr>
      <w:r>
        <w:rPr>
          <w:sz w:val="24"/>
          <w:szCs w:val="24"/>
          <w:shd w:fill="auto" w:val="clear"/>
        </w:rPr>
        <w:t>Поставщик обязан представить Покупателю счета-фактуры, выставленные в сроки и оформленные в порядке, установленном законодательством Российской Федерации. В случае нарушения Поставщиком требований к оформлению счетов-фактур, он обязан произвести замену счета-фактуры в течение 3 (трех) рабочих дней с даты получения соответствующего письменного требования Покупателя.</w:t>
      </w:r>
      <w:r>
        <w:rPr>
          <w:rStyle w:val="FootnoteReference"/>
          <w:bCs/>
          <w:szCs w:val="28"/>
          <w:shd w:fill="auto" w:val="clear"/>
        </w:rPr>
        <w:footnoteReference w:id="4"/>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sz w:val="24"/>
          <w:szCs w:val="24"/>
        </w:rPr>
      </w:pPr>
      <w:r>
        <w:rPr>
          <w:sz w:val="24"/>
          <w:szCs w:val="24"/>
        </w:rPr>
        <w:t>Если имеются нарушения со стороны Поставщика и Покупатель выставил ему счет на оплату неустойки, то Покупатель вправе удержать платеж в части или полностью, не доплатить Поставщику на сумму неустойки.</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sz w:val="24"/>
          <w:szCs w:val="24"/>
        </w:rPr>
      </w:pPr>
      <w:r>
        <w:rPr>
          <w:sz w:val="24"/>
          <w:szCs w:val="24"/>
        </w:rPr>
        <w:t>Любые и все дополнительные расходы, и издержки, понесенные Поставщиком в результате задержки со стороны Покупателя на единовременный период до 30 (тридцати) дней или совокупной длительностью до 90 (девяноста) дней, считаются включенными в цену Договора, даже если задержка произошла по вине Покупателя. Просрочка исполнения Покупателем своих обязательств по настоящему Договору на единовременный период до 30 (тридцати) дней или совокупной длительностью до 90 (девяноста) дней не предоставляет Поставщику право на соразмерное продление срока исполнения своих обязательств по настоящему Договору.</w:t>
      </w:r>
    </w:p>
    <w:p>
      <w:pPr>
        <w:pStyle w:val="Normal"/>
        <w:tabs>
          <w:tab w:val="clear" w:pos="720"/>
          <w:tab w:val="left" w:pos="0" w:leader="none"/>
          <w:tab w:val="left" w:pos="851" w:leader="none"/>
        </w:tabs>
        <w:spacing w:before="0" w:after="120"/>
        <w:ind w:firstLine="567"/>
        <w:jc w:val="both"/>
        <w:rPr>
          <w:sz w:val="24"/>
          <w:szCs w:val="24"/>
        </w:rPr>
      </w:pPr>
      <w:r>
        <w:rPr>
          <w:sz w:val="24"/>
          <w:szCs w:val="24"/>
        </w:rPr>
        <w:t>Поставщик будет иметь право на соразмерное продление срока исполнения своих обязательств, получение компенсации всех разумных и надлежащим образом документально подтвержденных дополнительных расходов, обоснованно понесенных им в результате любой задержки, исключительно при наличии одновременно следующих условий:</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срок задержки составляет единовременно 31 (тридцать один) день или в совокупности 91 (девяносто один) день и более;</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такие задержки происходят по вине Покупателя;</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Поставщик в каждом отдельном случае, включая первоначальный 30-дневный срок задержки, надлежащим образом и своевременно уведомляет Покупателя о любых таких задержках, путем направления письменного уведомления;</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исполнение Поставщиком своего обязательства обусловлено исполнением обязательств Покупателем согласно Договору (встречное обязательство);</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обязательство Покупателя, по которому произошла задержка, не является денежным.</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sz w:val="24"/>
          <w:szCs w:val="24"/>
        </w:rPr>
      </w:pPr>
      <w:r>
        <w:rPr>
          <w:sz w:val="24"/>
          <w:szCs w:val="24"/>
        </w:rPr>
        <w:t>Индексация Цены Договора не допускается.</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Качество, количество и комплектность</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Продукция должна быть новой, не бывшей в употреблении, пригодной для использования по своему назначению. Поставщик гарантирует, что Продукция принадлежит ему на законном основании, в споре, залоге или под арестом не состоит, правами третьих лиц не обременена.</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Качество, комплектность, количество и ассортимент поставляемой Продукции должны соответствовать требованиям Покупателя, Договора, Спецификации, государственным стандартам (техническим регламентам), техническим условиям и другой нормативно-технической документации.</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Поставщик обязан одновременно с передачей Продукции передать Покупателю относящиеся к ней документы, оформленные надлежащим образом:</w:t>
      </w:r>
    </w:p>
    <w:p>
      <w:pPr>
        <w:pStyle w:val="Normal"/>
        <w:widowControl w:val="false"/>
        <w:numPr>
          <w:ilvl w:val="0"/>
          <w:numId w:val="3"/>
        </w:numPr>
        <w:shd w:val="clear" w:fill="FFFFFF"/>
        <w:tabs>
          <w:tab w:val="clear" w:pos="720"/>
          <w:tab w:val="left" w:pos="0" w:leader="none"/>
          <w:tab w:val="left" w:pos="900" w:leader="none"/>
          <w:tab w:val="left" w:pos="1134" w:leader="none"/>
          <w:tab w:val="left" w:pos="1276" w:leader="none"/>
        </w:tabs>
        <w:spacing w:before="0" w:after="120"/>
        <w:ind w:left="0" w:right="0" w:firstLine="567"/>
        <w:jc w:val="both"/>
        <w:rPr>
          <w:sz w:val="24"/>
          <w:szCs w:val="24"/>
        </w:rPr>
      </w:pPr>
      <w:r>
        <w:rPr>
          <w:i w:val="false"/>
          <w:iCs w:val="false"/>
          <w:spacing w:val="-4"/>
          <w:kern w:val="0"/>
          <w:sz w:val="24"/>
          <w:szCs w:val="24"/>
          <w:u w:val="none"/>
          <w:shd w:fill="auto" w:val="clear"/>
          <w:lang w:val="ru-RU" w:eastAsia="en-US" w:bidi="ar-SA"/>
        </w:rPr>
        <w:t>Сертификат качества в 1 экз.;</w:t>
      </w:r>
    </w:p>
    <w:p>
      <w:pPr>
        <w:pStyle w:val="Normal"/>
        <w:widowControl w:val="false"/>
        <w:numPr>
          <w:ilvl w:val="0"/>
          <w:numId w:val="3"/>
        </w:numPr>
        <w:tabs>
          <w:tab w:val="clear" w:pos="720"/>
          <w:tab w:val="left" w:pos="0" w:leader="none"/>
          <w:tab w:val="left" w:pos="900" w:leader="none"/>
          <w:tab w:val="left" w:pos="1134" w:leader="none"/>
          <w:tab w:val="left" w:pos="1276" w:leader="none"/>
        </w:tabs>
        <w:spacing w:before="0" w:after="120"/>
        <w:ind w:left="0" w:firstLine="567"/>
        <w:jc w:val="both"/>
        <w:rPr>
          <w:u w:val="none"/>
        </w:rPr>
      </w:pPr>
      <w:r>
        <w:rPr>
          <w:i w:val="false"/>
          <w:iCs w:val="false"/>
          <w:spacing w:val="-4"/>
          <w:kern w:val="0"/>
          <w:sz w:val="24"/>
          <w:szCs w:val="24"/>
          <w:u w:val="none"/>
          <w:shd w:fill="auto" w:val="clear"/>
          <w:lang w:val="ru-RU" w:eastAsia="en-US" w:bidi="ar-SA"/>
        </w:rPr>
        <w:t>Сертификат соответствия требованиям пожарной безопасности в 1 экз.;</w:t>
      </w:r>
    </w:p>
    <w:p>
      <w:pPr>
        <w:pStyle w:val="Normal"/>
        <w:numPr>
          <w:ilvl w:val="0"/>
          <w:numId w:val="3"/>
        </w:numPr>
        <w:tabs>
          <w:tab w:val="clear" w:pos="720"/>
          <w:tab w:val="left" w:pos="910" w:leader="none"/>
        </w:tabs>
        <w:spacing w:before="0" w:after="113"/>
        <w:ind w:left="0" w:firstLine="567"/>
        <w:jc w:val="both"/>
        <w:rPr>
          <w:sz w:val="24"/>
          <w:szCs w:val="24"/>
        </w:rPr>
      </w:pPr>
      <w:r>
        <w:rPr>
          <w:rFonts w:eastAsia="Times New Roman" w:cs="Times New Roman"/>
          <w:bCs/>
          <w:i w:val="false"/>
          <w:iCs w:val="false"/>
          <w:spacing w:val="-4"/>
          <w:kern w:val="0"/>
          <w:sz w:val="24"/>
          <w:szCs w:val="24"/>
          <w:u w:val="none"/>
          <w:shd w:fill="auto" w:val="clear"/>
          <w:lang w:val="ru-RU" w:eastAsia="ru-RU" w:bidi="ar-SA"/>
        </w:rPr>
        <w:t xml:space="preserve">Технический паспорт на русском языке </w:t>
      </w:r>
      <w:r>
        <w:rPr>
          <w:bCs/>
          <w:i w:val="false"/>
          <w:iCs w:val="false"/>
          <w:spacing w:val="-4"/>
          <w:kern w:val="0"/>
          <w:sz w:val="24"/>
          <w:szCs w:val="24"/>
          <w:u w:val="none"/>
          <w:shd w:fill="auto" w:val="clear"/>
          <w:lang w:val="ru-RU" w:eastAsia="en-US" w:bidi="ar-SA"/>
        </w:rPr>
        <w:t>в 1 экз.;</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13"/>
        <w:ind w:left="0" w:firstLine="567"/>
        <w:jc w:val="both"/>
        <w:rPr>
          <w:u w:val="single"/>
        </w:rPr>
      </w:pPr>
      <w:r>
        <w:rPr>
          <w:bCs/>
          <w:i w:val="false"/>
          <w:iCs w:val="false"/>
          <w:spacing w:val="-4"/>
          <w:kern w:val="0"/>
          <w:sz w:val="24"/>
          <w:szCs w:val="24"/>
          <w:u w:val="none"/>
          <w:shd w:fill="auto" w:val="clear"/>
          <w:lang w:val="ru-RU" w:eastAsia="en-US" w:bidi="ar-SA"/>
        </w:rPr>
        <w:t>Протоколы заводских испытаний в 1. экз.;</w:t>
      </w:r>
    </w:p>
    <w:p>
      <w:pPr>
        <w:pStyle w:val="Normal"/>
        <w:widowControl/>
        <w:numPr>
          <w:ilvl w:val="0"/>
          <w:numId w:val="3"/>
        </w:numPr>
        <w:shd w:val="clear" w:color="auto" w:fill="FFFFFF"/>
        <w:tabs>
          <w:tab w:val="clear" w:pos="720"/>
          <w:tab w:val="left" w:pos="0" w:leader="none"/>
          <w:tab w:val="left" w:pos="900" w:leader="none"/>
          <w:tab w:val="left" w:pos="1134" w:leader="none"/>
          <w:tab w:val="left" w:pos="1276" w:leader="none"/>
        </w:tabs>
        <w:spacing w:before="0" w:after="113"/>
        <w:ind w:left="0" w:firstLine="567"/>
        <w:jc w:val="both"/>
        <w:rPr>
          <w:u w:val="none"/>
        </w:rPr>
      </w:pPr>
      <w:r>
        <w:rPr>
          <w:rFonts w:eastAsia="Times New Roman" w:cs="Times New Roman"/>
          <w:b w:val="false"/>
          <w:bCs w:val="false"/>
          <w:i w:val="false"/>
          <w:iCs w:val="false"/>
          <w:spacing w:val="-4"/>
          <w:kern w:val="0"/>
          <w:sz w:val="24"/>
          <w:szCs w:val="24"/>
          <w:u w:val="none"/>
          <w:shd w:fill="auto" w:val="clear"/>
          <w:lang w:val="ru-RU" w:eastAsia="ru-RU" w:bidi="ar-SA"/>
        </w:rPr>
        <w:t>Гарантийный талон на Продукцию или другой документ, выполнение требований которого является условием выполнения гарантийных обязательств производителя или Поставщика</w:t>
      </w:r>
      <w:r>
        <w:rPr>
          <w:rFonts w:eastAsia="Times New Roman" w:cs="Times New Roman"/>
          <w:b w:val="false"/>
          <w:bCs w:val="false"/>
          <w:i w:val="false"/>
          <w:iCs w:val="false"/>
          <w:spacing w:val="-4"/>
          <w:kern w:val="0"/>
          <w:sz w:val="24"/>
          <w:szCs w:val="24"/>
          <w:u w:val="none"/>
          <w:shd w:fill="auto" w:val="clear"/>
          <w:lang w:val="ru-RU" w:eastAsia="x-none" w:bidi="ar-SA"/>
        </w:rPr>
        <w:t xml:space="preserve">, </w:t>
      </w:r>
      <w:r>
        <w:rPr>
          <w:b w:val="false"/>
          <w:bCs w:val="false"/>
          <w:i w:val="false"/>
          <w:iCs w:val="false"/>
          <w:spacing w:val="-4"/>
          <w:kern w:val="0"/>
          <w:sz w:val="24"/>
          <w:szCs w:val="24"/>
          <w:u w:val="none"/>
          <w:shd w:fill="auto" w:val="clear"/>
          <w:lang w:val="ru-RU" w:eastAsia="en-US" w:bidi="ar-SA"/>
        </w:rPr>
        <w:t>в 1 экз.;</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highlight w:val="none"/>
          <w:shd w:fill="auto" w:val="clear"/>
        </w:rPr>
      </w:pPr>
      <w:r>
        <w:rPr>
          <w:sz w:val="24"/>
          <w:szCs w:val="24"/>
          <w:shd w:fill="auto" w:val="clear"/>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w:t>
      </w:r>
      <w:r>
        <w:rPr>
          <w:i/>
          <w:sz w:val="24"/>
          <w:szCs w:val="24"/>
          <w:shd w:fill="auto" w:val="clear"/>
        </w:rPr>
        <w:t xml:space="preserve">, </w:t>
      </w:r>
      <w:r>
        <w:rPr>
          <w:b w:val="false"/>
          <w:bCs w:val="false"/>
          <w:sz w:val="24"/>
          <w:szCs w:val="24"/>
          <w:shd w:fill="auto" w:val="clear"/>
        </w:rPr>
        <w:t>сертификат о происхождении товара</w:t>
      </w:r>
      <w:r>
        <w:rPr>
          <w:sz w:val="24"/>
          <w:szCs w:val="24"/>
          <w:shd w:fill="auto" w:val="clear"/>
        </w:rPr>
        <w:t xml:space="preserve"> и т.п., копия таможенной декларации и/или иные документы, подтверждающие законность ввоза продукции иностранного производства) в зависимости от номенклатуры поставляемой Продукции;</w:t>
      </w:r>
    </w:p>
    <w:p>
      <w:pPr>
        <w:pStyle w:val="Normal"/>
        <w:widowControl w:val="false"/>
        <w:numPr>
          <w:ilvl w:val="0"/>
          <w:numId w:val="3"/>
        </w:numPr>
        <w:shd w:val="clear" w:color="auto" w:fill="FFFFFF"/>
        <w:tabs>
          <w:tab w:val="clear" w:pos="720"/>
          <w:tab w:val="left" w:pos="851" w:leader="none"/>
          <w:tab w:val="left" w:pos="900" w:leader="none"/>
          <w:tab w:val="left" w:pos="1134" w:leader="none"/>
          <w:tab w:val="left" w:pos="1276" w:leader="none"/>
        </w:tabs>
        <w:spacing w:before="0" w:after="120"/>
        <w:ind w:left="0" w:firstLine="567"/>
        <w:jc w:val="both"/>
        <w:rPr>
          <w:sz w:val="24"/>
          <w:szCs w:val="24"/>
        </w:rPr>
      </w:pPr>
      <w:r>
        <w:rPr>
          <w:sz w:val="24"/>
          <w:szCs w:val="24"/>
        </w:rPr>
        <w:t>Обязательные первичные документы:</w:t>
      </w:r>
    </w:p>
    <w:p>
      <w:pPr>
        <w:pStyle w:val="Normal"/>
        <w:widowControl w:val="false"/>
        <w:numPr>
          <w:ilvl w:val="0"/>
          <w:numId w:val="5"/>
        </w:numPr>
        <w:shd w:val="clear" w:color="auto" w:fill="FFFFFF"/>
        <w:tabs>
          <w:tab w:val="left" w:pos="720" w:leader="none"/>
          <w:tab w:val="left" w:pos="1134" w:leader="none"/>
          <w:tab w:val="left" w:pos="1276" w:leader="none"/>
        </w:tabs>
        <w:spacing w:before="0" w:after="120"/>
        <w:ind w:left="0" w:firstLine="567"/>
        <w:jc w:val="both"/>
        <w:rPr>
          <w:sz w:val="24"/>
          <w:szCs w:val="24"/>
        </w:rPr>
      </w:pPr>
      <w:r>
        <w:rPr>
          <w:sz w:val="24"/>
          <w:szCs w:val="24"/>
        </w:rPr>
        <w:t>Товарно-транспортную накладную формы № 1-Т (для учета товарно-материальных ценностей и расчетов за их перевозки), или Железнодорожную накладную (форма № ГУ-27), или Транспортную накладную ((для учета товарно-материальных ценностей и расчетов за их перевозки) по форме согласно Приложению 4 к Правилам перевозки грузов автомобильным транспортом (утв</w:t>
      </w:r>
      <w:r>
        <w:rPr>
          <w:rFonts w:cs="Times New Roman;serif"/>
          <w:color w:val="000000"/>
          <w:sz w:val="24"/>
          <w:szCs w:val="24"/>
        </w:rPr>
        <w:t xml:space="preserve">. </w:t>
      </w:r>
      <w:hyperlink r:id="rId2">
        <w:r>
          <w:rPr>
            <w:rStyle w:val="11"/>
            <w:rFonts w:cs="Times New"/>
            <w:color w:val="000000"/>
            <w:sz w:val="24"/>
            <w:szCs w:val="24"/>
            <w:u w:val="none"/>
          </w:rPr>
          <w:t>Постановлением</w:t>
        </w:r>
        <w:r>
          <w:rPr>
            <w:rStyle w:val="11"/>
            <w:color w:val="000000"/>
            <w:sz w:val="24"/>
            <w:szCs w:val="24"/>
            <w:u w:val="none"/>
          </w:rPr>
          <w:t xml:space="preserve"> </w:t>
        </w:r>
        <w:r>
          <w:rPr>
            <w:rStyle w:val="11"/>
            <w:rFonts w:cs="Times New"/>
            <w:color w:val="000000"/>
            <w:sz w:val="24"/>
            <w:szCs w:val="24"/>
            <w:u w:val="none"/>
          </w:rPr>
          <w:t>Правительства РФ от 21.12.2020 № 2200</w:t>
        </w:r>
      </w:hyperlink>
      <w:r>
        <w:rPr>
          <w:sz w:val="24"/>
          <w:szCs w:val="24"/>
        </w:rPr>
        <w:t xml:space="preserve">) в 1 экз.; </w:t>
      </w:r>
    </w:p>
    <w:p>
      <w:pPr>
        <w:pStyle w:val="Normal"/>
        <w:widowControl w:val="false"/>
        <w:numPr>
          <w:ilvl w:val="0"/>
          <w:numId w:val="5"/>
        </w:numPr>
        <w:shd w:val="clear" w:color="auto" w:fill="FFFFFF"/>
        <w:tabs>
          <w:tab w:val="left" w:pos="720" w:leader="none"/>
          <w:tab w:val="left" w:pos="1134" w:leader="none"/>
          <w:tab w:val="left" w:pos="1276" w:leader="none"/>
        </w:tabs>
        <w:spacing w:before="0" w:after="120"/>
        <w:ind w:left="0" w:firstLine="567"/>
        <w:jc w:val="both"/>
        <w:rPr>
          <w:sz w:val="24"/>
          <w:szCs w:val="24"/>
        </w:rPr>
      </w:pPr>
      <w:r>
        <w:rPr>
          <w:sz w:val="24"/>
          <w:szCs w:val="24"/>
        </w:rPr>
        <w:t>Товарную накладную по форме ТОРГ-12 или Универсальный передаточный документ (УПД) в 2 экз.</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В случае отсутствия указанных в п. 3.3. Договора документов, Покупатель уведомляет об этом Поставщика и прекращает приемку Продукции до предоставления недостающих документов. Поставщик обязан в течение 3 (трех) календарных дней с даты направления указанного уведомления Покупателя представить недостающие документы, что не освобождает Поставщика от ответственности, предусмотренной условиями Договора за нарушение срока поставки.</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 xml:space="preserve">Приемка Продукции по количеству тар и упаковок, в которых осуществлялась её отгрузка, производится в день поставки согласно транспортным и сопроводительным документам, упаковочным листам и другим документам Поставщика, представленным в соответствии с п. 3.3. Договора. По результатам проверки упаковочных мест Покупатель подписывает представленную Поставщиком </w:t>
      </w:r>
      <w:r>
        <w:rPr>
          <w:color w:val="000000"/>
          <w:sz w:val="24"/>
          <w:szCs w:val="24"/>
        </w:rPr>
        <w:t>товарно-транспортную накладную формы №1-Т, или Железнодорожную накладную (форма № ГУ-27), или Транспортную накладную (для учета товарно-материальных ценностей и расчетов за их перевозки) по форме согласно Приложению 4 к Правилам перевозки грузов автомобильным транспортом (утв</w:t>
      </w:r>
      <w:r>
        <w:rPr>
          <w:rFonts w:cs="Times New Roman;serif"/>
          <w:color w:val="000000"/>
          <w:sz w:val="24"/>
          <w:szCs w:val="24"/>
        </w:rPr>
        <w:t xml:space="preserve">. </w:t>
      </w:r>
      <w:hyperlink r:id="rId3">
        <w:r>
          <w:rPr>
            <w:rStyle w:val="11"/>
            <w:rFonts w:cs="Times New"/>
            <w:color w:val="000000"/>
            <w:sz w:val="24"/>
            <w:szCs w:val="24"/>
            <w:u w:val="none"/>
          </w:rPr>
          <w:t>Постановлением</w:t>
        </w:r>
        <w:r>
          <w:rPr>
            <w:rStyle w:val="11"/>
            <w:color w:val="000000"/>
            <w:sz w:val="24"/>
            <w:szCs w:val="24"/>
            <w:u w:val="none"/>
          </w:rPr>
          <w:t xml:space="preserve"> </w:t>
        </w:r>
        <w:r>
          <w:rPr>
            <w:rStyle w:val="11"/>
            <w:rFonts w:cs="Times New"/>
            <w:color w:val="000000"/>
            <w:sz w:val="24"/>
            <w:szCs w:val="24"/>
            <w:u w:val="none"/>
          </w:rPr>
          <w:t>Правительства РФ от 21.12.2020 № 2200</w:t>
        </w:r>
      </w:hyperlink>
      <w:r>
        <w:rPr>
          <w:rFonts w:cs="Times New"/>
          <w:color w:val="000000"/>
          <w:sz w:val="24"/>
          <w:szCs w:val="24"/>
          <w:u w:val="none"/>
        </w:rPr>
        <w:t>)</w:t>
      </w:r>
      <w:r>
        <w:rPr>
          <w:color w:val="000000"/>
          <w:sz w:val="24"/>
          <w:szCs w:val="24"/>
        </w:rPr>
        <w:t>.</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 xml:space="preserve">При некомплектности, недопоставке, отсутствии необходимых принадлежностей, относящихся к Продукции, Покупатель вправе с одновременным направлением письменного уведомления Продавцу прекратить приемку Продукции до устранения нарушений. Поставщик обязан в течение </w:t>
      </w:r>
      <w:r>
        <w:rPr>
          <w:sz w:val="24"/>
          <w:szCs w:val="24"/>
          <w:u w:val="single"/>
          <w:shd w:fill="auto" w:val="clear"/>
        </w:rPr>
        <w:t>3 (трех) календарных дней</w:t>
      </w:r>
      <w:r>
        <w:rPr>
          <w:sz w:val="24"/>
          <w:szCs w:val="24"/>
        </w:rPr>
        <w:t xml:space="preserve"> с указанной даты представить необходимые комплектующие или принадлежности, что не освобождает Поставщика от ответственности за убытки, причиненные нарушением срока поставки.</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pPr>
      <w:r>
        <w:rPr>
          <w:sz w:val="24"/>
          <w:szCs w:val="24"/>
        </w:rPr>
        <w:t xml:space="preserve">Приемка Продукции со вскрытием упаковки производится Покупателем в течение </w:t>
      </w:r>
      <w:r>
        <w:rPr>
          <w:sz w:val="24"/>
          <w:szCs w:val="24"/>
          <w:u w:val="single"/>
          <w:shd w:fill="auto" w:val="clear"/>
        </w:rPr>
        <w:t>10 (десяти) рабочих дней</w:t>
      </w:r>
      <w:r>
        <w:rPr>
          <w:sz w:val="24"/>
          <w:szCs w:val="24"/>
        </w:rPr>
        <w:t xml:space="preserve"> с даты подписания </w:t>
      </w:r>
      <w:r>
        <w:rPr>
          <w:color w:val="000000"/>
          <w:sz w:val="24"/>
          <w:szCs w:val="24"/>
        </w:rPr>
        <w:t>товарно-транспортной накладной по форме №1-Т, или Железнодорожной накладной (форма № ГУ-27), или транспортной накладной (для учета товарно-материальных ценностей и расчетов за их перевозки) по форме согласно Приложению 4 к Правилам перевозки грузов автомобильным транспортом (утв</w:t>
      </w:r>
      <w:r>
        <w:rPr>
          <w:rFonts w:cs="Times New Roman;serif"/>
          <w:color w:val="000000"/>
          <w:sz w:val="24"/>
          <w:szCs w:val="24"/>
        </w:rPr>
        <w:t xml:space="preserve">. </w:t>
      </w:r>
      <w:hyperlink r:id="rId4">
        <w:r>
          <w:rPr>
            <w:rStyle w:val="11"/>
            <w:rFonts w:cs="Times New"/>
            <w:color w:val="000000"/>
            <w:sz w:val="24"/>
            <w:szCs w:val="24"/>
            <w:u w:val="none"/>
          </w:rPr>
          <w:t>Постановлением</w:t>
        </w:r>
        <w:r>
          <w:rPr>
            <w:rStyle w:val="11"/>
            <w:color w:val="000000"/>
            <w:sz w:val="24"/>
            <w:szCs w:val="24"/>
            <w:u w:val="none"/>
          </w:rPr>
          <w:t xml:space="preserve"> </w:t>
        </w:r>
        <w:r>
          <w:rPr>
            <w:rStyle w:val="11"/>
            <w:rFonts w:cs="Times New"/>
            <w:color w:val="000000"/>
            <w:sz w:val="24"/>
            <w:szCs w:val="24"/>
            <w:u w:val="none"/>
          </w:rPr>
          <w:t>Правительства РФ от 21.12.2020 № 2200</w:t>
        </w:r>
      </w:hyperlink>
      <w:r>
        <w:rPr>
          <w:color w:val="000000"/>
          <w:sz w:val="24"/>
          <w:szCs w:val="24"/>
        </w:rPr>
        <w:t>). В случае отсутствия замечаний Покупатель подписывает товарную накладную унифицированной формы ТОРГ-12 или Универсальный передаточный документ (УПД).</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В случае обнаружения внутри упаковочных мест (тары, упаковки) недопоставки, некомплектности, отсутствии необходимых принадлежностей или обнаружения недостатков (дефектов) Продукции, Покупатель незамедлительно прекращает вскрытие упаковки и направляет Поставщику письменное уведомление об обнаруженных недостатках с указанием даты и времени совместной приемки. Поставщик обязан обеспечить присутствие в указанное время своих представителей, уполномоченных доверенностью на проведение совместной приемки и подписание акта о выявленных недостатках. В акте о выявленных недостатках Сторонами указываются, в том числе, сроки и способ их устранения (возврат, замена или ремонт Продукции). 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w:t>
      </w:r>
    </w:p>
    <w:p>
      <w:pPr>
        <w:pStyle w:val="Normal"/>
        <w:widowControl w:val="false"/>
        <w:numPr>
          <w:ilvl w:val="1"/>
          <w:numId w:val="4"/>
        </w:numPr>
        <w:shd w:val="clear" w:fill="FFFFFF"/>
        <w:tabs>
          <w:tab w:val="clear" w:pos="720"/>
          <w:tab w:val="left" w:pos="1134" w:leader="none"/>
          <w:tab w:val="left" w:pos="1276" w:leader="none"/>
        </w:tabs>
        <w:spacing w:before="0" w:after="120"/>
        <w:ind w:left="0" w:firstLine="567"/>
        <w:jc w:val="both"/>
        <w:rPr>
          <w:sz w:val="24"/>
          <w:szCs w:val="24"/>
        </w:rPr>
      </w:pPr>
      <w:r>
        <w:rPr>
          <w:sz w:val="24"/>
          <w:szCs w:val="24"/>
        </w:rPr>
        <w:t>При невыполнении Поставщиком требований пункта 3.8. Договора, акт о выявленных недостатках, составленный и подписанный Покупателем в одностороннем порядке, будет являться достаточным юридическим основанием для применения мер ответственности, установленных Договором.</w:t>
      </w:r>
    </w:p>
    <w:p>
      <w:pPr>
        <w:pStyle w:val="Normal"/>
        <w:widowControl w:val="false"/>
        <w:numPr>
          <w:ilvl w:val="1"/>
          <w:numId w:val="4"/>
        </w:numPr>
        <w:shd w:val="clear" w:fill="FFFFFF"/>
        <w:tabs>
          <w:tab w:val="clear" w:pos="720"/>
          <w:tab w:val="left" w:pos="1134" w:leader="none"/>
          <w:tab w:val="left" w:pos="1276" w:leader="none"/>
        </w:tabs>
        <w:spacing w:before="0" w:after="120"/>
        <w:ind w:left="0" w:firstLine="567"/>
        <w:jc w:val="both"/>
        <w:rPr>
          <w:sz w:val="24"/>
          <w:szCs w:val="24"/>
        </w:rPr>
      </w:pPr>
      <w:r>
        <w:rPr>
          <w:sz w:val="24"/>
          <w:szCs w:val="24"/>
        </w:rPr>
        <w:t xml:space="preserve">В случае, когда Продукция, комплектующие, принадлежности или документы, относящиеся к Продукции, не переданы Поставщиком в сроки, указанные в п. 3.4, п. 3.6 Договора, Покупатель вправе отказаться от Продукции, а Поставщик обязан не позднее </w:t>
      </w:r>
      <w:r>
        <w:rPr>
          <w:sz w:val="24"/>
          <w:szCs w:val="24"/>
          <w:u w:val="single"/>
        </w:rPr>
        <w:t>15 (пятнадцати) календарных дней</w:t>
      </w:r>
      <w:r>
        <w:rPr>
          <w:sz w:val="24"/>
          <w:szCs w:val="24"/>
        </w:rPr>
        <w:t xml:space="preserve"> с даты уведомления его Покупателем об отказе от Продукции возместить понесенные убытки, в том числе расходы, связанные с хранением Продукции.</w:t>
      </w:r>
    </w:p>
    <w:p>
      <w:pPr>
        <w:pStyle w:val="Normal"/>
        <w:widowControl w:val="false"/>
        <w:numPr>
          <w:ilvl w:val="1"/>
          <w:numId w:val="4"/>
        </w:numPr>
        <w:shd w:val="clear" w:fill="FFFFFF"/>
        <w:tabs>
          <w:tab w:val="clear" w:pos="720"/>
          <w:tab w:val="left" w:pos="1134" w:leader="none"/>
          <w:tab w:val="left" w:pos="1276" w:leader="none"/>
        </w:tabs>
        <w:spacing w:before="0" w:after="120"/>
        <w:ind w:left="0" w:firstLine="567"/>
        <w:jc w:val="both"/>
        <w:rPr>
          <w:sz w:val="24"/>
          <w:szCs w:val="24"/>
        </w:rPr>
      </w:pPr>
      <w:r>
        <w:rPr>
          <w:sz w:val="24"/>
          <w:szCs w:val="24"/>
        </w:rPr>
        <w:t>По всем иным вопросам, касающимся приемки Продукции, Стороны руководствуются Инструкцией Госарбитража при Совете Министров СССР от 15.06.1965 № П-6, Инструкцией Госарбитража при Совете Министров СССР от 25.04.1966 №П-7 в части, не противоречащей условиям Договора.</w:t>
      </w:r>
    </w:p>
    <w:p>
      <w:pPr>
        <w:pStyle w:val="Normal"/>
        <w:widowControl w:val="false"/>
        <w:numPr>
          <w:ilvl w:val="1"/>
          <w:numId w:val="4"/>
        </w:numPr>
        <w:shd w:val="clear" w:fill="FFFFFF"/>
        <w:tabs>
          <w:tab w:val="clear" w:pos="720"/>
          <w:tab w:val="left" w:pos="1134" w:leader="none"/>
          <w:tab w:val="left" w:pos="1276" w:leader="none"/>
        </w:tabs>
        <w:spacing w:before="0" w:after="120"/>
        <w:ind w:left="0" w:firstLine="567"/>
        <w:jc w:val="both"/>
        <w:rPr>
          <w:sz w:val="24"/>
          <w:szCs w:val="24"/>
        </w:rPr>
      </w:pPr>
      <w:r>
        <w:rPr>
          <w:sz w:val="24"/>
          <w:szCs w:val="24"/>
        </w:rPr>
        <w:t>На Продукцию устанавливается гарантийный срок</w:t>
      </w:r>
      <w:r>
        <w:rPr>
          <w:sz w:val="24"/>
          <w:szCs w:val="24"/>
          <w:u w:val="none"/>
          <w:shd w:fill="auto" w:val="clear"/>
        </w:rPr>
        <w:t xml:space="preserve"> не менее 12</w:t>
      </w:r>
      <w:r>
        <w:rPr>
          <w:rFonts w:eastAsia="Times New Roman" w:cs="Times New Roman"/>
          <w:sz w:val="24"/>
          <w:szCs w:val="24"/>
          <w:u w:val="none"/>
          <w:shd w:fill="auto" w:val="clear"/>
          <w:lang w:eastAsia="ru-RU"/>
        </w:rPr>
        <w:t xml:space="preserve"> (двенадцати) месяцев</w:t>
      </w:r>
      <w:r>
        <w:rPr>
          <w:sz w:val="24"/>
          <w:szCs w:val="24"/>
          <w:u w:val="none"/>
          <w:shd w:fill="auto" w:val="clear"/>
        </w:rPr>
        <w:t>, исчисляемый с даты подписания Сторонами соответствующей товарной накладной по форме ТОРГ-12 или Универсального передаточного документа (УПД), но не менее гарантийного срока изготовителя (производителя) Продукции.</w:t>
      </w:r>
    </w:p>
    <w:p>
      <w:pPr>
        <w:pStyle w:val="Normal"/>
        <w:widowControl w:val="false"/>
        <w:numPr>
          <w:ilvl w:val="1"/>
          <w:numId w:val="4"/>
        </w:numPr>
        <w:shd w:val="clear" w:fill="FFFFFF"/>
        <w:tabs>
          <w:tab w:val="clear" w:pos="720"/>
          <w:tab w:val="left" w:pos="1134" w:leader="none"/>
          <w:tab w:val="left" w:pos="1276" w:leader="none"/>
        </w:tabs>
        <w:spacing w:before="0" w:after="120"/>
        <w:ind w:left="0" w:firstLine="567"/>
        <w:jc w:val="both"/>
        <w:rPr>
          <w:sz w:val="24"/>
          <w:szCs w:val="24"/>
        </w:rPr>
      </w:pPr>
      <w:r>
        <w:rPr>
          <w:sz w:val="24"/>
          <w:szCs w:val="24"/>
        </w:rPr>
        <w:t>В течение Гарантийного срока Поставщик гарантирует соответствие качества Продукции требованиям, указанным в Договоре, техническом паспорте Продукции, нормативно-технической документации, возможность эксплуатации Продукции в соответствии с ее целевым назначением, а также несет безусловную ответственность за обнаруженные недостатки (дефекты), если не докажет, что такие недостатки (дефекты) явились следствием несоблюдения Покупателем требований по транспортировке, хранению и использованию Продукции, установленных в инструкциях и иных документах, переданных Покупателю в соответствии с п. 3.3. Договора.</w:t>
      </w:r>
    </w:p>
    <w:p>
      <w:pPr>
        <w:pStyle w:val="Normal"/>
        <w:widowControl w:val="false"/>
        <w:numPr>
          <w:ilvl w:val="1"/>
          <w:numId w:val="4"/>
        </w:numPr>
        <w:shd w:val="clear" w:fill="FFFFFF"/>
        <w:tabs>
          <w:tab w:val="clear" w:pos="720"/>
          <w:tab w:val="left" w:pos="1134" w:leader="none"/>
          <w:tab w:val="left" w:pos="1276" w:leader="none"/>
        </w:tabs>
        <w:spacing w:before="0" w:after="120"/>
        <w:ind w:left="0" w:firstLine="567"/>
        <w:jc w:val="both"/>
        <w:rPr>
          <w:sz w:val="24"/>
          <w:szCs w:val="24"/>
        </w:rPr>
      </w:pPr>
      <w:r>
        <w:rPr>
          <w:sz w:val="24"/>
          <w:szCs w:val="24"/>
        </w:rPr>
        <w:t>При обнаружении в течение Гарантийного срока недостатков Продукции Покупатель направляет Поставщику соответствующее письменное уведомление, в котором указывает перечень выявленных недостатков и срок на их устранение.</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 xml:space="preserve">Устранение недостатков осуществляется Поставщиком своими силами, за свой счет и в срок, указанный </w:t>
      </w:r>
      <w:bookmarkStart w:id="0" w:name="OLE_LINK6"/>
      <w:bookmarkStart w:id="1" w:name="OLE_LINK5"/>
      <w:r>
        <w:rPr>
          <w:sz w:val="24"/>
          <w:szCs w:val="24"/>
        </w:rPr>
        <w:t>Покупателем в соответствии с п. 3.14. Договора</w:t>
      </w:r>
      <w:bookmarkEnd w:id="0"/>
      <w:bookmarkEnd w:id="1"/>
      <w:r>
        <w:rPr>
          <w:sz w:val="24"/>
          <w:szCs w:val="24"/>
        </w:rPr>
        <w:t>, путем замены или ремонта Продукции. Устранение недостатков путем ремонта Продукции может осуществляться только по письменному согласованию с Покупателем. Поставщик также вправе по согласованию с Покупателем вместо замены или ремонта Продукции возвратить Покупателю ее стоимость в соответствии со Спецификацией (</w:t>
      </w:r>
      <w:r>
        <w:rPr>
          <w:b/>
          <w:sz w:val="24"/>
          <w:szCs w:val="24"/>
        </w:rPr>
        <w:t>Приложение №1</w:t>
      </w:r>
      <w:r>
        <w:rPr>
          <w:sz w:val="24"/>
          <w:szCs w:val="24"/>
        </w:rPr>
        <w:t>). Вывоз Продукции для целей устранения недостатков или утилизации осуществляется Поставщиком.</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Если Поставщик не устранит недостатки в срок, установленный согласно п. 3.14. Договора, Покупатель вправе устранить их своими силами или силами третьих лиц и потребовать от Поставщика возмещения понесенных расходов. Поставщик обязан возместить расходы Покупателя в течение 10 (десяти) рабочих дней с даты получения соответствующего письменного требования Покупателя.</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Гарантийный срок на Продукцию увеличивается на тот период времени, в течение которого Покупатель не мог эксплуатировать Продукцию (ее часть) вследствие указанных в настоящем разделе недостатков. Гарантийный срок на замененную или отремонтированную единицу Продукции устанавливается продолжительностью, указанной в п. 3.12. Договора и начинает исчисляться заново с даты приемки Покупателем замены или работ по устранению недостатков.</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Устранение недостатков Продукции или возврат ее стоимости, в том числе в рамках срока, установленного в соответствии с п. 3.10. Договора, не освобождает Поставщика от ответственности за убытки, причиненные Покупателю вследствие наличия таких недостатков.</w:t>
      </w:r>
    </w:p>
    <w:p>
      <w:pPr>
        <w:pStyle w:val="Normal"/>
        <w:widowControl w:val="false"/>
        <w:numPr>
          <w:ilvl w:val="0"/>
          <w:numId w:val="6"/>
        </w:numPr>
        <w:shd w:val="clear" w:color="auto" w:fill="FFFFFF"/>
        <w:tabs>
          <w:tab w:val="clear" w:pos="720"/>
          <w:tab w:val="left" w:pos="426" w:leader="none"/>
        </w:tabs>
        <w:spacing w:before="0" w:after="120"/>
        <w:ind w:left="0" w:hanging="0"/>
        <w:jc w:val="center"/>
        <w:rPr>
          <w:sz w:val="24"/>
          <w:szCs w:val="24"/>
        </w:rPr>
      </w:pPr>
      <w:r>
        <w:rPr>
          <w:b/>
          <w:sz w:val="24"/>
          <w:szCs w:val="24"/>
        </w:rPr>
        <w:t>Тара, упаковка, маркировка</w:t>
      </w:r>
    </w:p>
    <w:p>
      <w:pPr>
        <w:pStyle w:val="Normal"/>
        <w:widowControl w:val="false"/>
        <w:numPr>
          <w:ilvl w:val="1"/>
          <w:numId w:val="6"/>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Продукция, поставляемая по Договору, должна отгружаться Поставщиком в таре и упаковке, обеспечивающих полную сохранность Продукции от всякого рода повреждений и порчи при ее перевозке и хранении с учетом возможных перегрузок и длительного хранения, в том числе в местностях с неблагоприятными климатическими условиями.</w:t>
      </w:r>
    </w:p>
    <w:p>
      <w:pPr>
        <w:pStyle w:val="Normal"/>
        <w:widowControl w:val="false"/>
        <w:numPr>
          <w:ilvl w:val="1"/>
          <w:numId w:val="6"/>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При необходимости дополнительных требований к способам затаривания, упаковки и транспортировки, Стороны согласуют их в Спецификации в отношении каждого вида Продукции в соответствии с требованиями ГОСТ, технических регламентов, ОСТ и другой нормативно-технической документации.</w:t>
      </w:r>
    </w:p>
    <w:p>
      <w:pPr>
        <w:pStyle w:val="Normal"/>
        <w:widowControl w:val="false"/>
        <w:numPr>
          <w:ilvl w:val="1"/>
          <w:numId w:val="6"/>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Продукция, упаковка, тара должны быть надлежащим образом промаркированы. На таре и упаковке должны быть указаны:</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наименование и адрес грузоотправителя и грузополучателя;</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номер Товарной накладной и/или Товарно-транспортной накладной;</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вес, брутто/нетто каждого места;</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наименование Продукции;</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номера мест и их общее количество;</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весогабаритные характеристики мест;</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центр тяжести;</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условия хранения;</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обозначения типа «не бросать» и другие обычно используемые обозначения.</w:t>
      </w:r>
    </w:p>
    <w:p>
      <w:pPr>
        <w:pStyle w:val="Normal"/>
        <w:widowControl w:val="false"/>
        <w:numPr>
          <w:ilvl w:val="1"/>
          <w:numId w:val="6"/>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Стоимость тары и упаковки включена в Цену Договора; тара и упаковка возврату не подлежат.</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Сроки, порядок и условия поставки, переход права собственности</w:t>
      </w:r>
    </w:p>
    <w:p>
      <w:pPr>
        <w:pStyle w:val="ListParagraph"/>
        <w:numPr>
          <w:ilvl w:val="1"/>
          <w:numId w:val="6"/>
        </w:numPr>
        <w:tabs>
          <w:tab w:val="clear" w:pos="720"/>
          <w:tab w:val="left" w:pos="0" w:leader="none"/>
          <w:tab w:val="left" w:pos="1276" w:leader="none"/>
        </w:tabs>
        <w:spacing w:before="0" w:after="120"/>
        <w:ind w:left="0" w:firstLine="567"/>
        <w:contextualSpacing w:val="false"/>
        <w:jc w:val="both"/>
        <w:rPr>
          <w:sz w:val="24"/>
          <w:szCs w:val="24"/>
        </w:rPr>
      </w:pPr>
      <w:r>
        <w:rPr>
          <w:sz w:val="24"/>
          <w:szCs w:val="24"/>
        </w:rPr>
        <w:t>Поставка Продукции по Договору осуществляется Поставщиком одной партией в Место поставки согласно п.1.4. Доставка и разгрузка Продукции осуществляется Поставщиком.</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Поставщик обязан уведомить Покупателя о дате поставки Продукции не позднее, чем за </w:t>
      </w:r>
      <w:r>
        <w:rPr>
          <w:sz w:val="24"/>
          <w:szCs w:val="24"/>
          <w:u w:val="single"/>
        </w:rPr>
        <w:t>2 (два) рабочих дня</w:t>
      </w:r>
      <w:r>
        <w:rPr>
          <w:sz w:val="24"/>
          <w:szCs w:val="24"/>
        </w:rPr>
        <w:t xml:space="preserve"> до даты поставки.</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Право собственности и риск случайного повреждения, гибели Продукции переходит от Поставщика к Покупателю с момента подписания Покупателем Товарной накладной по форме ТОРГ-12 или Универсального передаточного документа (УПД). Датой поставки Продукции считается дата подписания товарной накладной по форме ТОРГ-12 или Универсального передаточного документа (УПД) Покупателем.</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В случае если документы первичной отчетности оформлены не по форме и/или оформлены не полностью (отсутствуют обязательные реквизиты, заполнены не все поля, разделы), либо оформлены с ошибками, либо предоставлены не в полном объеме, то Покупатель вправе вернуть такие документы Поставщику на переоформление, что не освобождает Поставщика от ответственности за просрочку срока поставки Продукции, до момента предоставления Поставщиком надлежаще оформленных первичных документов.</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Поставщик несет ответственность за получение (если это необходимо) разрешений властей на транспортировку Продукции в Место поставки, лицензий и иных необходимых документов.</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Ответственность по Договору</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Меры ответственности, предусмотренные Договором, не заменяют мер ответственности, установленных законодательством и должны рассматриваться как дополнительные, если в Договоре прямо не оговорено иное.</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В случае нарушения Покупателем сроков оплаты поставленной Продукции, Поставщик вправе потребовать уплаты Покупателем исключительной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 </w:t>
      </w:r>
      <w:r>
        <w:rPr>
          <w:bCs/>
          <w:color w:val="auto"/>
          <w:sz w:val="24"/>
          <w:szCs w:val="24"/>
        </w:rPr>
        <w:t>При этом такая неустойка является единственным возмещением объективно оцененных Сторонами возможных убытков Поставщика (исключительная неустойка).</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В случае нарушения Поставщиком обязательств по поставке Продукции (нарушение срока поставки, недопоставка), Покупатель вправе потребовать уплаты Поставщиком неустойки в размере 0,1 (ноль целых и одна десятая) процента от Цены Договора за каждый день просрочки.</w:t>
      </w:r>
    </w:p>
    <w:p>
      <w:pPr>
        <w:pStyle w:val="Normal"/>
        <w:widowControl w:val="false"/>
        <w:numPr>
          <w:ilvl w:val="1"/>
          <w:numId w:val="6"/>
        </w:numPr>
        <w:shd w:val="clear" w:color="auto" w:fill="FFFFFF"/>
        <w:tabs>
          <w:tab w:val="clear" w:pos="720"/>
          <w:tab w:val="left" w:pos="1276" w:leader="none"/>
        </w:tabs>
        <w:ind w:left="0" w:firstLine="567"/>
        <w:jc w:val="both"/>
        <w:rPr>
          <w:sz w:val="24"/>
          <w:szCs w:val="24"/>
        </w:rPr>
      </w:pPr>
      <w:r>
        <w:rPr>
          <w:sz w:val="24"/>
          <w:szCs w:val="24"/>
        </w:rPr>
        <w:t>В случае несвоевременного устранения Поставщиком выявленных недостатков Продукции согласно п. 3.14. Договора, Покупатель вправе потребовать уплаты Поставщиком:</w:t>
      </w:r>
    </w:p>
    <w:p>
      <w:pPr>
        <w:pStyle w:val="Normal"/>
        <w:numPr>
          <w:ilvl w:val="0"/>
          <w:numId w:val="14"/>
        </w:numPr>
        <w:tabs>
          <w:tab w:val="clear" w:pos="720"/>
          <w:tab w:val="left" w:pos="1701" w:leader="none"/>
        </w:tabs>
        <w:ind w:left="0" w:firstLine="709"/>
        <w:jc w:val="both"/>
        <w:rPr>
          <w:rFonts w:eastAsia="Calibri"/>
          <w:bCs/>
          <w:sz w:val="24"/>
          <w:szCs w:val="24"/>
        </w:rPr>
      </w:pPr>
      <w:r>
        <w:rPr>
          <w:rFonts w:eastAsia="Calibri"/>
          <w:bCs/>
          <w:sz w:val="24"/>
          <w:szCs w:val="24"/>
        </w:rPr>
        <w:t xml:space="preserve">неустойки в размере 0,1 (ноль целых и одна десятая) процента от Цены Договора за каждый день просрочки – в случае несвоевременного устранения выявленных недостатков </w:t>
      </w:r>
      <w:r>
        <w:rPr>
          <w:sz w:val="24"/>
          <w:szCs w:val="24"/>
        </w:rPr>
        <w:t>Продукции</w:t>
      </w:r>
      <w:r>
        <w:rPr>
          <w:rFonts w:eastAsia="Calibri"/>
          <w:bCs/>
          <w:sz w:val="24"/>
          <w:szCs w:val="24"/>
        </w:rPr>
        <w:t xml:space="preserve">, влияющих на возможность эксплуатации (использования) </w:t>
      </w:r>
      <w:r>
        <w:rPr>
          <w:sz w:val="24"/>
          <w:szCs w:val="24"/>
        </w:rPr>
        <w:t>Продукции</w:t>
      </w:r>
      <w:r>
        <w:rPr>
          <w:rFonts w:eastAsia="Calibri"/>
          <w:bCs/>
          <w:sz w:val="24"/>
          <w:szCs w:val="24"/>
        </w:rPr>
        <w:t xml:space="preserve"> в целом;</w:t>
      </w:r>
    </w:p>
    <w:p>
      <w:pPr>
        <w:pStyle w:val="Normal"/>
        <w:numPr>
          <w:ilvl w:val="0"/>
          <w:numId w:val="14"/>
        </w:numPr>
        <w:tabs>
          <w:tab w:val="clear" w:pos="720"/>
          <w:tab w:val="left" w:pos="1701" w:leader="none"/>
        </w:tabs>
        <w:spacing w:before="0" w:after="113"/>
        <w:ind w:left="0" w:firstLine="709"/>
        <w:jc w:val="both"/>
        <w:rPr>
          <w:rFonts w:eastAsia="Calibri"/>
          <w:bCs/>
          <w:sz w:val="24"/>
          <w:szCs w:val="24"/>
        </w:rPr>
      </w:pPr>
      <w:r>
        <w:rPr>
          <w:rFonts w:eastAsia="Calibri"/>
          <w:bCs/>
          <w:sz w:val="24"/>
          <w:szCs w:val="24"/>
        </w:rPr>
        <w:t xml:space="preserve">неустойки в размере 0,1 (ноль целых и одна десятая) процента от стоимости некачественной </w:t>
      </w:r>
      <w:r>
        <w:rPr>
          <w:sz w:val="24"/>
          <w:szCs w:val="24"/>
        </w:rPr>
        <w:t>Продукции</w:t>
      </w:r>
      <w:r>
        <w:rPr>
          <w:rFonts w:eastAsia="Calibri"/>
          <w:bCs/>
          <w:sz w:val="24"/>
          <w:szCs w:val="24"/>
        </w:rPr>
        <w:t xml:space="preserve"> за каждый день просрочки – в случае несвоевременного устранения выявленных недостатков </w:t>
      </w:r>
      <w:r>
        <w:rPr>
          <w:sz w:val="24"/>
          <w:szCs w:val="24"/>
        </w:rPr>
        <w:t>Продукции</w:t>
      </w:r>
      <w:r>
        <w:rPr>
          <w:rFonts w:eastAsia="Calibri"/>
          <w:bCs/>
          <w:sz w:val="24"/>
          <w:szCs w:val="24"/>
        </w:rPr>
        <w:t xml:space="preserve">, не влияющих на возможность эксплуатации (использования) </w:t>
      </w:r>
      <w:r>
        <w:rPr>
          <w:sz w:val="24"/>
          <w:szCs w:val="24"/>
        </w:rPr>
        <w:t>Продукции</w:t>
      </w:r>
      <w:r>
        <w:rPr>
          <w:rFonts w:eastAsia="Calibri"/>
          <w:bCs/>
          <w:sz w:val="24"/>
          <w:szCs w:val="24"/>
        </w:rPr>
        <w:t xml:space="preserve"> в целом.</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В случае нарушения Поставщиком обязательств по поставке Продукции на срок свыше 15 (пятнадцати) календарных дней Покупатель имеет право расторгнуть Договор в одностороннем порядке, а также потребовать возмещения убытков. При этом Покупатель также вправе возвратить Поставщику не бывшую в употреблении Продукцию, ранее принятую по Договору, и потребовать возврата уплаченных денежных средств. В случае отказа Поставщика от приемки Продукции, Покупатель вправе передать ее в депозит нотариуса с отнесением расходов на счет Поставщика.</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pPr>
      <w:r>
        <w:rPr>
          <w:sz w:val="24"/>
          <w:szCs w:val="24"/>
          <w:shd w:fill="auto" w:val="clear"/>
        </w:rPr>
        <w:t>В случае, если в результате составления и выставления Поставщиком счетов-фактур с нарушением порядка и требований, установленных законодательством Российской Федерации, Покупатель понес расходы, связанные с уплатой начисленных налоговыми органами 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 В случае нарушения Поставщиком срока замены счета-фактуры, предусмотренного Договором, Покупатель имеет право требовать от Поставщика уплаты штрафа в размере 50 000 (Пятидесяти тысяч) рублей за каждый случай нарушения.</w:t>
      </w:r>
      <w:r>
        <w:rPr>
          <w:rStyle w:val="Style9"/>
          <w:bCs/>
          <w:szCs w:val="28"/>
          <w:u w:val="none"/>
          <w:shd w:fill="auto" w:val="clear"/>
        </w:rPr>
        <w:t xml:space="preserve"> </w:t>
      </w:r>
      <w:r>
        <w:rPr>
          <w:rStyle w:val="FootnoteReference"/>
          <w:bCs/>
          <w:szCs w:val="28"/>
          <w:u w:val="none"/>
          <w:shd w:fill="auto" w:val="clear"/>
        </w:rPr>
        <w:footnoteReference w:id="5"/>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Поставщик гарантирует Покупателю, что он обладает всеми необходимыми правами на соответствующие патенты и изобретения, связанные с поставляемой Продукцией. Если Покупателю будет предъявлена претензия, связанная с нарушением патентных или иных имущественных прав, то Поставщик обязан полностью возместить убытки, возникшие у Покупателя из-за нарушения вышеуказанных прав.</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Помимо иных предусмотренных Договором и законодательством Российской Федерации мер ответственности Поставщика за невыполнение (ненадлежащее выполнение) Договора, Поставщик возмещает Покупателю, причиненный ущерб в размере фактически понесенных и документально подтвержденных расходов Покупателя, произведенных им для восстановления нарушенного права. Кроме того, Покупатель имеет право требовать от Поставщика возмещения упущенной выгоды, а также штрафов и неустоек, предъявленных Покупателю третьими лицами и связанных с неисполнением (ненадлежащим исполнением) Поставщиком обязательств по Договору.</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Обязанность по уплате неустойки, предусмотренной Договором, возникает у любой из Сторон только при условии получения требования другой Стороны. При этом расчет суммы неустойки может быть произведен с даты фактического нарушения обязательств.</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Во избежание сомнений, кроме случаев, когда Договором прямо предусмотрено иное, любая задержка в реализации права, предоставленного законом или Договором, не означает отказ от такого права и, таким образом, не влечет прекращения возможности реализовать это право в дальнейшем.</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В случае изменения в течение срока действия Договора каких-либо собственников (включая конечных бенефициаров) Поставщика, а также внесения изменений в документы, упомянутые в настоящем пункте, Поставщик обязуется в течение 3 (трех) рабочих дней уведомить о таких изменениях Покупателя в порядке, установленном п. 14.7. Договора, представив заверенные копии документов, подтверждающие такие изменения, а именно:</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всех юридических лиц, созданных и действующих в соответствии с законодательством Российской Федерации:</w:t>
      </w:r>
    </w:p>
    <w:p>
      <w:pPr>
        <w:pStyle w:val="Normal"/>
        <w:numPr>
          <w:ilvl w:val="0"/>
          <w:numId w:val="9"/>
        </w:numPr>
        <w:tabs>
          <w:tab w:val="clear" w:pos="720"/>
          <w:tab w:val="left" w:pos="0" w:leader="none"/>
        </w:tabs>
        <w:spacing w:before="0" w:after="120"/>
        <w:ind w:left="0" w:firstLine="567"/>
        <w:jc w:val="both"/>
        <w:outlineLvl w:val="0"/>
        <w:rPr>
          <w:sz w:val="24"/>
          <w:szCs w:val="24"/>
        </w:rPr>
      </w:pPr>
      <w:r>
        <w:rPr>
          <w:sz w:val="24"/>
          <w:szCs w:val="24"/>
        </w:rPr>
        <w:t>выписка из Единого государственного реестра юридических лиц, после изменений, указанных в п. 6.11. Договора, а также:</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юридических лиц, зарегистрированных в форме акционерных обществ:</w:t>
      </w:r>
    </w:p>
    <w:p>
      <w:pPr>
        <w:pStyle w:val="Normal"/>
        <w:numPr>
          <w:ilvl w:val="0"/>
          <w:numId w:val="9"/>
        </w:numPr>
        <w:tabs>
          <w:tab w:val="clear" w:pos="720"/>
          <w:tab w:val="left" w:pos="567" w:leader="none"/>
        </w:tabs>
        <w:spacing w:before="0" w:after="120"/>
        <w:ind w:left="0" w:firstLine="567"/>
        <w:outlineLvl w:val="0"/>
        <w:rPr>
          <w:sz w:val="24"/>
          <w:szCs w:val="24"/>
        </w:rPr>
      </w:pPr>
      <w:r>
        <w:rPr>
          <w:sz w:val="24"/>
          <w:szCs w:val="24"/>
        </w:rPr>
        <w:t>список владельцев ценных бумаг;</w:t>
      </w:r>
    </w:p>
    <w:p>
      <w:pPr>
        <w:pStyle w:val="Normal"/>
        <w:numPr>
          <w:ilvl w:val="0"/>
          <w:numId w:val="9"/>
        </w:numPr>
        <w:tabs>
          <w:tab w:val="clear" w:pos="720"/>
          <w:tab w:val="left" w:pos="567" w:leader="none"/>
        </w:tabs>
        <w:spacing w:before="0" w:after="120"/>
        <w:ind w:left="0" w:firstLine="567"/>
        <w:outlineLvl w:val="0"/>
        <w:rPr>
          <w:sz w:val="24"/>
          <w:szCs w:val="24"/>
        </w:rPr>
      </w:pPr>
      <w:r>
        <w:rPr>
          <w:sz w:val="24"/>
          <w:szCs w:val="24"/>
        </w:rPr>
        <w:t>список аффилированных лиц на последнюю отчетную дату;</w:t>
      </w:r>
    </w:p>
    <w:p>
      <w:pPr>
        <w:pStyle w:val="Normal"/>
        <w:numPr>
          <w:ilvl w:val="0"/>
          <w:numId w:val="9"/>
        </w:numPr>
        <w:tabs>
          <w:tab w:val="clear" w:pos="720"/>
          <w:tab w:val="left" w:pos="567" w:leader="none"/>
        </w:tabs>
        <w:spacing w:before="0" w:after="120"/>
        <w:ind w:left="0" w:firstLine="567"/>
        <w:outlineLvl w:val="0"/>
        <w:rPr>
          <w:sz w:val="24"/>
          <w:szCs w:val="24"/>
        </w:rPr>
      </w:pPr>
      <w:r>
        <w:rPr>
          <w:sz w:val="24"/>
          <w:szCs w:val="24"/>
        </w:rPr>
        <w:t>ежеквартальный отчет на последнюю отчетную дату.</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юридических лиц, зарегистрированных в форме обществ с ограниченной ответственностью:</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учредительный договор/договор об учреждении (создании)/решение единственного учредителя о создании;</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решение (протокол) о приеме новых участников;</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устав.</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юридических лиц, зарегистрированных в форме общественных или религиозных организаций (объединений):</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учредительный договор или положение;</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решение о создании.</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юридических лиц, зарегистрированных в форме фонда:</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документ о выборе (назначении) попечительского совета фонда;</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решение о создании.</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юридических лиц, зарегистрированных в форме некоммерческого партнерства:</w:t>
      </w:r>
    </w:p>
    <w:p>
      <w:pPr>
        <w:pStyle w:val="Normal"/>
        <w:numPr>
          <w:ilvl w:val="0"/>
          <w:numId w:val="9"/>
        </w:numPr>
        <w:tabs>
          <w:tab w:val="clear" w:pos="720"/>
          <w:tab w:val="left" w:pos="567" w:leader="none"/>
        </w:tabs>
        <w:spacing w:before="0" w:after="120"/>
        <w:ind w:left="0" w:firstLine="567"/>
        <w:outlineLvl w:val="0"/>
        <w:rPr>
          <w:sz w:val="24"/>
          <w:szCs w:val="24"/>
        </w:rPr>
      </w:pPr>
      <w:r>
        <w:rPr>
          <w:sz w:val="24"/>
          <w:szCs w:val="24"/>
        </w:rPr>
        <w:t>решение и договор о создании.</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иных организационно-правовых форм юридических лиц – документы, предусмотренные действующим законодательством РФ, устанавливающие правоспособность и правовой статус юридического лица, а также документы, содержащие сведения об учредителях (участниках, акционерах, товарищах или вкладчиках) или иных лицах, способных прямо или косвенно контролировать деятельность юридического лица.</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всех организаций, созданных и действующих в соответствии с законодательством иностранных государств:</w:t>
      </w:r>
    </w:p>
    <w:p>
      <w:pPr>
        <w:pStyle w:val="Normal"/>
        <w:numPr>
          <w:ilvl w:val="0"/>
          <w:numId w:val="9"/>
        </w:numPr>
        <w:spacing w:before="0" w:after="120"/>
        <w:ind w:left="709" w:hanging="283"/>
        <w:outlineLvl w:val="0"/>
        <w:rPr>
          <w:sz w:val="24"/>
          <w:szCs w:val="24"/>
        </w:rPr>
      </w:pPr>
      <w:r>
        <w:rPr>
          <w:sz w:val="24"/>
          <w:szCs w:val="24"/>
        </w:rPr>
        <w:t>выписка из торгового реестра страны инкорпорации;</w:t>
      </w:r>
    </w:p>
    <w:p>
      <w:pPr>
        <w:pStyle w:val="Normal"/>
        <w:numPr>
          <w:ilvl w:val="0"/>
          <w:numId w:val="9"/>
        </w:numPr>
        <w:spacing w:before="0" w:after="120"/>
        <w:ind w:left="709" w:hanging="283"/>
        <w:jc w:val="both"/>
        <w:outlineLvl w:val="0"/>
        <w:rPr>
          <w:sz w:val="24"/>
          <w:szCs w:val="24"/>
        </w:rPr>
      </w:pPr>
      <w:r>
        <w:rPr>
          <w:sz w:val="24"/>
          <w:szCs w:val="24"/>
        </w:rPr>
        <w:t>предусмотренные законодательством иностранного государства документы обо всех лицах, способных прямо или косвенно контролировать деятельность юридического лица.</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всех организаций независимо от страны инкорпорации и при наличии в составе учредителей, участников или иных владельцев доверительных управляющих, номинальных держателей, трастов или иных лиц, не являющихся собственниками – документы, служащие основанием прав таких лиц.</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физических лиц, являющихся налоговыми резидентами Российской Федерации – оригинал Согласия на передачу персональных и охраняемых законом данных по утверждённой форме.</w:t>
      </w:r>
    </w:p>
    <w:p>
      <w:pPr>
        <w:pStyle w:val="Normal"/>
        <w:widowControl w:val="false"/>
        <w:numPr>
          <w:ilvl w:val="0"/>
          <w:numId w:val="6"/>
        </w:numPr>
        <w:shd w:val="clear" w:color="auto" w:fill="FFFFFF"/>
        <w:tabs>
          <w:tab w:val="clear" w:pos="720"/>
          <w:tab w:val="left" w:pos="426" w:leader="none"/>
          <w:tab w:val="left" w:pos="1276" w:leader="none"/>
        </w:tabs>
        <w:spacing w:before="0" w:after="120"/>
        <w:ind w:left="0" w:hanging="0"/>
        <w:jc w:val="center"/>
        <w:rPr>
          <w:b/>
          <w:bCs/>
          <w:sz w:val="24"/>
          <w:szCs w:val="24"/>
        </w:rPr>
      </w:pPr>
      <w:r>
        <w:rPr>
          <w:b/>
          <w:bCs/>
          <w:sz w:val="24"/>
          <w:szCs w:val="24"/>
        </w:rPr>
        <w:t>Особые положения</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Поставщик обязуется не привлекать и не допускать привлечения к исполнению обязательств по Договору (каждому из Договоров)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5">
        <w:r>
          <w:rPr>
            <w:sz w:val="24"/>
            <w:szCs w:val="24"/>
          </w:rPr>
          <w:t>№ 18162/09</w:t>
        </w:r>
      </w:hyperlink>
      <w:r>
        <w:rPr>
          <w:sz w:val="24"/>
          <w:szCs w:val="24"/>
        </w:rPr>
        <w:t xml:space="preserve"> и от 25.05.2010 </w:t>
      </w:r>
      <w:hyperlink r:id="rId6">
        <w:r>
          <w:rPr>
            <w:sz w:val="24"/>
            <w:szCs w:val="24"/>
          </w:rPr>
          <w:t>№ 15658/09</w:t>
        </w:r>
      </w:hyperlink>
      <w:r>
        <w:rPr>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7">
        <w:r>
          <w:rPr>
            <w:sz w:val="24"/>
            <w:szCs w:val="24"/>
          </w:rPr>
          <w:t>Критери</w:t>
        </w:r>
      </w:hyperlink>
      <w:r>
        <w:rPr>
          <w:sz w:val="24"/>
          <w:szCs w:val="24"/>
        </w:rPr>
        <w:t>ям оценки рисков, используемым налоговыми органами в процессе отбора объектов для проведения выездных налоговых проверок (утв. Приказом ФНС России от 30.05.2007 № ММ-3-06/333@ или заменяющий его документ).</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Поставщик обязуется незамедлительно уведомить Покупателя о появлении в ходе исполнения Договора у привлеченных организаций признаков недобросовестности, указанных в п. 7.1. Договора, а также обеспечить прекращение участия таких организаций в исполнении Договора.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В случае нарушения Поставщиком обязательств, установленных в п. 7.1., п. 7.2. Договора, Покупатель в дополнение к основаниям, предусмотренным Договором, вправе заявить отказ от Договора в одностороннем порядке путем направления уведомления с указанием даты расторжения (далее – Уведомление). Дата расторжения не должна наступать ранее 10 (десяти) рабочих дней с даты получения Уведомления Поставщиком. Договор будет считаться расторгнутым с даты, указанной в Уведомлении при условии, что Покупатель не отзовет указанное Уведомление по итогам рассмотрения мотивированных возражений Поставщика до указанной даты расторжения.</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При этом Поставщик принимает обязательство уплатить Покупателю штраф в размере суммы денежных средств, перечисленной организации, отвечающей признакам недобросовестности, а также компенсировать убытки, причиненные Покупателю в результате нарушения обязательств, установленных в п. 7.1., п. 7.2. Договора, сверх суммы штрафа.</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Штраф, предусмотренный п. 7.4. Договора, оплачивается в течение 10 (десяти) дней с даты получения соответствующего требования. Покупатель вправе предъявить требование об уплате штрафа независимо от расторжения Договора в соответствии с п. 7.3. Договора.</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Покупатель вправе приостановить осуществление платежей, причитающихся Поставщику, независимо от наличия оснований и наступления сроков таких платежей, до уплаты штрафа, предусмотренного п. 7.4. Договора, при этом Покупатель не будет считаться просрочившим и/или нарушившим свои обязательства по Договору.</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Независимо от других положений Договора, обязательства Поставщика по п. 7.4.-7.5. Договора продолжают действовать в течение 4 (четырех) лет после окончания срока действия Договора.</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bCs/>
          <w:sz w:val="24"/>
          <w:szCs w:val="24"/>
        </w:rPr>
      </w:pPr>
      <w:r>
        <w:rPr>
          <w:b/>
          <w:sz w:val="24"/>
          <w:szCs w:val="24"/>
        </w:rPr>
        <w:t>Форс</w:t>
      </w:r>
      <w:r>
        <w:rPr>
          <w:b/>
          <w:bCs/>
          <w:sz w:val="24"/>
          <w:szCs w:val="24"/>
        </w:rPr>
        <w:t>-мажор</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Стороны не могли ни предвидеть, ни предотвратить разумными мерами, а именно: стихийные бедствия, пожары, наводнения, землетрясения, военные действия, отраслевые или общенациональные забастовки, гражданские беспорядки, изменения в законодательстве Российской Федерации, а также принятие иных обязательных к исполнению нормативных актов.</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Сторона, для которой наступили обстоятельства непреодолимой силы, должна незамедлительно, но в любом случае не позднее 5 (пяти) календарных дней, письменно известить другую Сторону о наступлении и планируемой дате прекращения указанных обстоятельств.</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Не извещение или несвоевременное извещение об обстоятельствах непреодолимой силы лишает соответствующую Сторону права в дальнейшем ссылаться на их наступление как на основание освобождения или ограничения ответственности по Договору.</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Письменное уведомление Торгово-промышленной палаты является достаточным подтверждением о действии и длительности обстоятельств непреодолимой силы.</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В случае если форс-мажорные обстоятельства и их последствия продолжают действовать более 30 (тридцати) календарных дней или, когда при наступлении таких обстоятельств становится ясно, что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Договора или его прекращения.</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bCs/>
          <w:sz w:val="24"/>
          <w:szCs w:val="24"/>
        </w:rPr>
      </w:pPr>
      <w:r>
        <w:rPr>
          <w:b/>
          <w:sz w:val="24"/>
          <w:szCs w:val="24"/>
        </w:rPr>
        <w:t>Конфиденциальность</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Место поставки, иную территорию Покупателя в процессе проведения переговоров, заключения и исполнения Договора, в отношении которой соблюдаются следующие условия:</w:t>
      </w:r>
    </w:p>
    <w:p>
      <w:pPr>
        <w:pStyle w:val="Normal"/>
        <w:numPr>
          <w:ilvl w:val="0"/>
          <w:numId w:val="8"/>
        </w:numPr>
        <w:tabs>
          <w:tab w:val="clear" w:pos="720"/>
          <w:tab w:val="left" w:pos="851" w:leader="none"/>
        </w:tabs>
        <w:spacing w:before="0" w:after="120"/>
        <w:ind w:left="851" w:hanging="284"/>
        <w:jc w:val="both"/>
        <w:rPr>
          <w:bCs/>
          <w:sz w:val="24"/>
          <w:szCs w:val="24"/>
        </w:rPr>
      </w:pPr>
      <w:r>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лицам;</w:t>
      </w:r>
    </w:p>
    <w:p>
      <w:pPr>
        <w:pStyle w:val="Normal"/>
        <w:numPr>
          <w:ilvl w:val="0"/>
          <w:numId w:val="8"/>
        </w:numPr>
        <w:tabs>
          <w:tab w:val="clear" w:pos="720"/>
          <w:tab w:val="left" w:pos="851" w:leader="none"/>
        </w:tabs>
        <w:spacing w:before="0" w:after="120"/>
        <w:ind w:left="851" w:hanging="284"/>
        <w:jc w:val="both"/>
        <w:rPr>
          <w:bCs/>
          <w:sz w:val="24"/>
          <w:szCs w:val="24"/>
        </w:rPr>
      </w:pPr>
      <w:r>
        <w:rPr>
          <w:bCs/>
          <w:sz w:val="24"/>
          <w:szCs w:val="24"/>
        </w:rPr>
        <w:t>данная Информация не относится к категории общедоступной или обязательной к раскрытию Покупателем в соответствии с законодательством Российской Федерации.</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Информация, подлежащая сохранению в тайне и неразглашению, может включать в себя, без ограничения приведенным перечнем:</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финансовую отчетность;</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учетные регистры бухгалтерского учета;</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бизнес-планы;</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договоры и соглашения, заключаемые или заключенные непосредственно Покупателем либо в его пользу, а также информацию и сведения, содержащиеся в данных договорах и соглашениях;</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сведения о финансовых, правовых, организационных и других взаимоотношениях между Покупателем и третьими лицами;</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сведения о подрядчиках, поставщиках оборудования, сырья и материалов, а также о покупателях продукции и их аффилированных лицах;</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сведения об объемах производства и/или реализации продукции и услуг Заказчика или его аффилированных лиц;</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материалы обобщения, анализа, оценки, иных действий по обработке вышеуказанной Информации и документов.</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прекращения его действия, в том числе: </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Покупателя, если иное не предусмотрено законодательством Российской Федерации и п. 9.6.7. Договора;</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принимать меры предосторожности, обычно используемые для защиты такого рода информации в деловом обороте, однако, если в организации Поставщика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то Поставщик обязан использовать в отношении защиты Информации, обычно используемые им меры защиты;</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использовать Информацию исключительно для целей, для которых она была предоставлена;</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не осуществлять действий (бездействия), результатом которых может быть несанкционированное раскрытие Информации третьим лицам;</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несанкционированного раскрытия;</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по требованию Покупателя уничтожить всю Информацию, которую будет невозможно передать Покупателю по его запросу или которая будет находиться на технических средствах Поставщика. При этом Покупатель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раскрывать Информацию только своим работникам, акционерам, членам Совета Директоров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не разглашать третьим лицам факта передачи или получения Информации.</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Поставщик, нарушивший условия настоящего раздела Договора, возмещает Покупателю все понесенные расходы и убытки, вызванные таким нарушением, в течение 10 (десяти) дней с даты получения соответствующего требования.</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Поставщик обязуется в договорах с третьими лицами обеспечить повторение условий Договора в части соблюдения режима конфиденциальности.</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Условия защиты конфиденциальной информации, представляемой Поставщиком Покупателю, могут быть урегулированы отдельно заключаемым Сторонами соглашением.</w:t>
      </w:r>
    </w:p>
    <w:p>
      <w:pPr>
        <w:pStyle w:val="ListParagraph"/>
        <w:numPr>
          <w:ilvl w:val="0"/>
          <w:numId w:val="6"/>
        </w:numPr>
        <w:tabs>
          <w:tab w:val="clear" w:pos="720"/>
          <w:tab w:val="left" w:pos="426" w:leader="none"/>
        </w:tabs>
        <w:spacing w:before="0" w:after="120"/>
        <w:ind w:left="0" w:hanging="0"/>
        <w:contextualSpacing w:val="false"/>
        <w:jc w:val="center"/>
        <w:rPr>
          <w:b/>
          <w:sz w:val="24"/>
          <w:szCs w:val="24"/>
        </w:rPr>
      </w:pPr>
      <w:r>
        <w:rPr>
          <w:b/>
          <w:sz w:val="24"/>
          <w:szCs w:val="24"/>
        </w:rPr>
        <w:t>Антикоррупционная оговорка</w:t>
      </w:r>
    </w:p>
    <w:p>
      <w:pPr>
        <w:pStyle w:val="ListParagraph"/>
        <w:numPr>
          <w:ilvl w:val="1"/>
          <w:numId w:val="6"/>
        </w:numPr>
        <w:shd w:val="clear" w:color="auto" w:fill="FFFFFF"/>
        <w:tabs>
          <w:tab w:val="clear" w:pos="720"/>
          <w:tab w:val="left" w:pos="1134" w:leader="none"/>
          <w:tab w:val="left" w:pos="1276" w:leader="none"/>
        </w:tabs>
        <w:spacing w:before="0" w:after="120"/>
        <w:ind w:left="0" w:firstLine="567"/>
        <w:contextualSpacing w:val="false"/>
        <w:jc w:val="both"/>
        <w:rPr>
          <w:bCs/>
          <w:sz w:val="24"/>
          <w:szCs w:val="24"/>
        </w:rPr>
      </w:pPr>
      <w:r>
        <w:rPr>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sz w:val="24"/>
          <w:szCs w:val="24"/>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ListParagraph"/>
        <w:widowControl/>
        <w:numPr>
          <w:ilvl w:val="1"/>
          <w:numId w:val="6"/>
        </w:numPr>
        <w:shd w:val="clear" w:color="auto" w:fill="FFFFFF"/>
        <w:tabs>
          <w:tab w:val="clear" w:pos="720"/>
          <w:tab w:val="left" w:pos="1134" w:leader="none"/>
          <w:tab w:val="left" w:pos="1276" w:leader="none"/>
        </w:tabs>
        <w:spacing w:before="0" w:after="120"/>
        <w:ind w:left="0" w:firstLine="567"/>
        <w:contextualSpacing w:val="false"/>
        <w:jc w:val="both"/>
        <w:rPr>
          <w:bCs/>
          <w:sz w:val="24"/>
          <w:szCs w:val="24"/>
        </w:rPr>
      </w:pPr>
      <w:r>
        <w:rPr>
          <w:bCs/>
          <w:sz w:val="24"/>
          <w:szCs w:val="24"/>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ListParagraph"/>
        <w:widowControl/>
        <w:numPr>
          <w:ilvl w:val="1"/>
          <w:numId w:val="6"/>
        </w:numPr>
        <w:shd w:val="clear" w:color="auto" w:fill="FFFFFF"/>
        <w:tabs>
          <w:tab w:val="clear" w:pos="720"/>
          <w:tab w:val="left" w:pos="1134" w:leader="none"/>
          <w:tab w:val="left" w:pos="1276" w:leader="none"/>
        </w:tabs>
        <w:spacing w:before="0" w:after="120"/>
        <w:ind w:left="0" w:firstLine="567"/>
        <w:contextualSpacing w:val="false"/>
        <w:jc w:val="both"/>
        <w:rPr>
          <w:bCs/>
          <w:sz w:val="24"/>
          <w:szCs w:val="24"/>
        </w:rPr>
      </w:pPr>
      <w:r>
        <w:rPr>
          <w:bCs/>
          <w:sz w:val="24"/>
          <w:szCs w:val="24"/>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ListParagraph"/>
        <w:widowControl/>
        <w:numPr>
          <w:ilvl w:val="1"/>
          <w:numId w:val="6"/>
        </w:numPr>
        <w:shd w:val="clear" w:color="auto" w:fill="FFFFFF"/>
        <w:tabs>
          <w:tab w:val="clear" w:pos="720"/>
          <w:tab w:val="left" w:pos="1134" w:leader="none"/>
          <w:tab w:val="left" w:pos="1276" w:leader="none"/>
        </w:tabs>
        <w:spacing w:before="0" w:after="120"/>
        <w:ind w:left="0" w:firstLine="567"/>
        <w:contextualSpacing w:val="false"/>
        <w:jc w:val="both"/>
        <w:rPr>
          <w:bCs/>
          <w:sz w:val="24"/>
          <w:szCs w:val="24"/>
        </w:rPr>
      </w:pPr>
      <w:r>
        <w:rPr>
          <w:bCs/>
          <w:sz w:val="24"/>
          <w:szCs w:val="24"/>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ListParagraph"/>
        <w:widowControl/>
        <w:numPr>
          <w:ilvl w:val="1"/>
          <w:numId w:val="6"/>
        </w:numPr>
        <w:shd w:val="clear" w:color="auto" w:fill="FFFFFF"/>
        <w:tabs>
          <w:tab w:val="clear" w:pos="720"/>
          <w:tab w:val="left" w:pos="1134" w:leader="none"/>
          <w:tab w:val="left" w:pos="1276" w:leader="none"/>
        </w:tabs>
        <w:spacing w:before="0" w:after="120"/>
        <w:ind w:left="0" w:firstLine="567"/>
        <w:contextualSpacing w:val="false"/>
        <w:jc w:val="both"/>
        <w:rPr>
          <w:bCs/>
          <w:sz w:val="24"/>
          <w:szCs w:val="24"/>
        </w:rPr>
      </w:pPr>
      <w:r>
        <w:rPr>
          <w:bCs/>
          <w:sz w:val="24"/>
          <w:szCs w:val="24"/>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ListParagraph"/>
        <w:widowControl/>
        <w:numPr>
          <w:ilvl w:val="1"/>
          <w:numId w:val="6"/>
        </w:numPr>
        <w:shd w:val="clear" w:color="auto" w:fill="FFFFFF"/>
        <w:tabs>
          <w:tab w:val="clear" w:pos="720"/>
          <w:tab w:val="left" w:pos="1134" w:leader="none"/>
          <w:tab w:val="left" w:pos="1276" w:leader="none"/>
        </w:tabs>
        <w:spacing w:before="0" w:after="120"/>
        <w:ind w:left="0" w:firstLine="567"/>
        <w:contextualSpacing w:val="false"/>
        <w:jc w:val="both"/>
        <w:rPr>
          <w:bCs/>
          <w:sz w:val="24"/>
          <w:szCs w:val="24"/>
        </w:rPr>
      </w:pPr>
      <w:r>
        <w:rPr>
          <w:bCs/>
          <w:sz w:val="24"/>
          <w:szCs w:val="24"/>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ListParagraph"/>
        <w:numPr>
          <w:ilvl w:val="1"/>
          <w:numId w:val="6"/>
        </w:numPr>
        <w:shd w:val="clear" w:color="auto" w:fill="FFFFFF"/>
        <w:tabs>
          <w:tab w:val="clear" w:pos="720"/>
          <w:tab w:val="left" w:pos="567" w:leader="none"/>
          <w:tab w:val="left" w:pos="1134" w:leader="none"/>
          <w:tab w:val="left" w:pos="1276" w:leader="none"/>
        </w:tabs>
        <w:spacing w:before="0" w:after="120"/>
        <w:ind w:left="0" w:firstLine="567"/>
        <w:contextualSpacing w:val="false"/>
        <w:jc w:val="both"/>
        <w:rPr>
          <w:sz w:val="24"/>
          <w:szCs w:val="24"/>
        </w:rPr>
      </w:pPr>
      <w:r>
        <w:rPr>
          <w:sz w:val="24"/>
          <w:szCs w:val="24"/>
        </w:rPr>
        <w:t xml:space="preserve">Каналы связи Линия доверия Группы РусГидро: </w:t>
      </w:r>
    </w:p>
    <w:p>
      <w:pPr>
        <w:pStyle w:val="ListParagraph"/>
        <w:numPr>
          <w:ilvl w:val="2"/>
          <w:numId w:val="6"/>
        </w:numPr>
        <w:shd w:val="clear" w:color="auto" w:fill="FFFFFF"/>
        <w:tabs>
          <w:tab w:val="clear" w:pos="720"/>
          <w:tab w:val="left" w:pos="567" w:leader="none"/>
          <w:tab w:val="left" w:pos="1134" w:leader="none"/>
          <w:tab w:val="left" w:pos="1276" w:leader="none"/>
        </w:tabs>
        <w:spacing w:before="0" w:after="120"/>
        <w:ind w:left="0" w:firstLine="567"/>
        <w:contextualSpacing w:val="false"/>
        <w:jc w:val="both"/>
        <w:rPr>
          <w:sz w:val="24"/>
          <w:szCs w:val="24"/>
        </w:rPr>
      </w:pPr>
      <w:r>
        <w:rPr>
          <w:sz w:val="24"/>
          <w:szCs w:val="24"/>
        </w:rPr>
        <w:t>Электронная почта: ld@rushydro.ru.</w:t>
      </w:r>
    </w:p>
    <w:p>
      <w:pPr>
        <w:pStyle w:val="ListParagraph"/>
        <w:numPr>
          <w:ilvl w:val="2"/>
          <w:numId w:val="6"/>
        </w:numPr>
        <w:shd w:val="clear" w:color="auto" w:fill="FFFFFF"/>
        <w:tabs>
          <w:tab w:val="clear" w:pos="720"/>
          <w:tab w:val="left" w:pos="567" w:leader="none"/>
          <w:tab w:val="left" w:pos="1134" w:leader="none"/>
          <w:tab w:val="left" w:pos="1276" w:leader="none"/>
        </w:tabs>
        <w:spacing w:before="0" w:after="120"/>
        <w:ind w:left="0" w:firstLine="567"/>
        <w:contextualSpacing w:val="false"/>
        <w:jc w:val="both"/>
        <w:rPr>
          <w:sz w:val="24"/>
          <w:szCs w:val="24"/>
        </w:rPr>
      </w:pPr>
      <w:r>
        <w:rPr>
          <w:sz w:val="24"/>
          <w:szCs w:val="24"/>
        </w:rPr>
        <w:t>Специальная форма «обратной связи», размещенная на официальном сайте ПАО «РусГидро» в сети интернет: http://www.rushydro.ru/ (далее перейти по ссылке «Линия доверия» и заполнить поля специальной формы «обратной связи»);</w:t>
      </w:r>
    </w:p>
    <w:p>
      <w:pPr>
        <w:pStyle w:val="ListParagraph"/>
        <w:numPr>
          <w:ilvl w:val="2"/>
          <w:numId w:val="6"/>
        </w:numPr>
        <w:shd w:val="clear" w:color="auto" w:fill="FFFFFF"/>
        <w:tabs>
          <w:tab w:val="clear" w:pos="720"/>
          <w:tab w:val="left" w:pos="567" w:leader="none"/>
          <w:tab w:val="left" w:pos="1134" w:leader="none"/>
          <w:tab w:val="left" w:pos="1276" w:leader="none"/>
        </w:tabs>
        <w:spacing w:before="0" w:after="120"/>
        <w:ind w:left="0" w:firstLine="567"/>
        <w:contextualSpacing w:val="false"/>
        <w:jc w:val="both"/>
        <w:rPr>
          <w:sz w:val="24"/>
          <w:szCs w:val="24"/>
        </w:rPr>
      </w:pPr>
      <w:r>
        <w:rPr>
          <w:sz w:val="24"/>
          <w:szCs w:val="24"/>
        </w:rPr>
        <w:t>Телефонный автоответчик (необходимо позвонить по телефону +7(495) 785-09-37.</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Разрешение споров</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Все споры, разногласия и требования, возникающие между Сторонами по Договору или в связи с ним, связанные, в том числе, с его заключением, исполнением, толкованием, изменением, дополнением, расторжением и действительностью, разрешаются путем переговоров.</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В случае не достижения соглашения в ходе переговоров, указанных в п. 11.1. Договора, заинтересованная Сторона направляет претензию в письменной форме, подписанную уполномоченным лицом. Претензия должна быть направлена с использованием средств связи, обеспечивающих фиксирование ее отправления (заказной почтой, курьерской службой и т.д.) и получения, либо вручена другой Стороне под расписку.</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 и документы, подтверждающие полномочия лица, подписавшего претензию. Указанные документы представляются в форме надлежащим образом заверенных копий. Претензия, направленная без документов, подтверждающих полномочия лица, ее подписавшего, считается непредъявленной и рассмотрению не подлежит.</w:t>
      </w:r>
      <w:bookmarkStart w:id="2" w:name="Par2"/>
      <w:bookmarkEnd w:id="2"/>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10 (десяти) рабочих дней со дня получения претензии.</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 xml:space="preserve"> </w:t>
      </w:r>
      <w:r>
        <w:rPr>
          <w:sz w:val="24"/>
          <w:szCs w:val="24"/>
        </w:rPr>
        <w:t>В случае не урегулирования разногласий в претензионном порядке, а также в случае неполучения ответа на претензию в течение срока, указанного в п. 11.4. Договора, спор передается в арбитражный суд в соответствии с действующим законодательством РФ по месту нахождения ответчика.</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bCs/>
          <w:sz w:val="24"/>
          <w:szCs w:val="24"/>
        </w:rPr>
      </w:pPr>
      <w:r>
        <w:rPr>
          <w:b/>
          <w:bCs/>
          <w:sz w:val="24"/>
          <w:szCs w:val="24"/>
        </w:rPr>
        <w:t>Прекращение (расторжение) Договора</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14.7.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r>
        <w:rPr/>
        <w:t>.</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В случае существенного нарушения Договора Поставщиком Покупатель вправе в одностороннем внесудебном порядке отказаться от Договора и потребовать полного возмещения Поставщиком убытков, причиненных отказом от Договора (исполнения Договора).</w:t>
      </w:r>
    </w:p>
    <w:p>
      <w:pPr>
        <w:pStyle w:val="Normal"/>
        <w:widowControl w:val="false"/>
        <w:shd w:val="clear" w:color="auto" w:fill="FFFFFF"/>
        <w:spacing w:before="0" w:after="120"/>
        <w:jc w:val="both"/>
        <w:rPr>
          <w:sz w:val="24"/>
          <w:szCs w:val="24"/>
        </w:rPr>
      </w:pPr>
      <w:r>
        <w:rPr>
          <w:sz w:val="24"/>
          <w:szCs w:val="24"/>
        </w:rPr>
        <w:tab/>
        <w:t>Покупатель одновременно с уведомлением об отказе от Договора (исполнения Договора) направляет Поставщику письменное требование о возмещении убытков с приложением расчета суммы убытков. Поставщик обязан оплатить Покупателю убытки не позднее 15 (пятнадцати) календарных дней с момента получения расчета суммы убытков от Покупателя.</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Стороны установили, что существенным нарушением Договора Поставщиком является</w:t>
      </w:r>
      <w:r>
        <w:rPr/>
        <w:t>:</w:t>
      </w:r>
    </w:p>
    <w:p>
      <w:pPr>
        <w:pStyle w:val="Normal"/>
        <w:widowControl w:val="false"/>
        <w:numPr>
          <w:ilvl w:val="2"/>
          <w:numId w:val="6"/>
        </w:numPr>
        <w:shd w:val="clear" w:color="auto" w:fill="FFFFFF"/>
        <w:spacing w:before="0" w:after="120"/>
        <w:ind w:left="0" w:firstLine="567"/>
        <w:jc w:val="both"/>
        <w:rPr>
          <w:sz w:val="24"/>
          <w:szCs w:val="24"/>
        </w:rPr>
      </w:pPr>
      <w:r>
        <w:rPr>
          <w:sz w:val="24"/>
          <w:szCs w:val="24"/>
        </w:rPr>
        <w:t>просрочка Поставщиком выполнения обязательств по Договору более чем на 15 (пятнадцать) календарных дней;</w:t>
      </w:r>
    </w:p>
    <w:p>
      <w:pPr>
        <w:pStyle w:val="Normal"/>
        <w:widowControl w:val="false"/>
        <w:numPr>
          <w:ilvl w:val="2"/>
          <w:numId w:val="6"/>
        </w:numPr>
        <w:shd w:val="clear" w:color="auto" w:fill="FFFFFF"/>
        <w:spacing w:before="0" w:after="120"/>
        <w:ind w:left="0" w:firstLine="567"/>
        <w:jc w:val="both"/>
        <w:rPr>
          <w:sz w:val="24"/>
          <w:szCs w:val="24"/>
        </w:rPr>
      </w:pPr>
      <w:r>
        <w:rPr>
          <w:sz w:val="24"/>
          <w:szCs w:val="24"/>
        </w:rPr>
        <w:t>несоблюдение Поставщиком требований к качеству Продукции, если исправление выявленных Покупателем недостатков, несоответствий и / или дефектов Продукции влечет нарушение сроков Поставки более чем на 15 (пятнадцать) календарных дней либо такие недостатки являются неустранимыми;</w:t>
      </w:r>
    </w:p>
    <w:p>
      <w:pPr>
        <w:pStyle w:val="Normal"/>
        <w:widowControl w:val="false"/>
        <w:numPr>
          <w:ilvl w:val="2"/>
          <w:numId w:val="6"/>
        </w:numPr>
        <w:shd w:val="clear" w:color="auto" w:fill="FFFFFF"/>
        <w:spacing w:before="0" w:after="120"/>
        <w:ind w:left="0" w:firstLine="567"/>
        <w:jc w:val="both"/>
        <w:rPr>
          <w:sz w:val="24"/>
          <w:szCs w:val="24"/>
        </w:rPr>
      </w:pPr>
      <w:r>
        <w:rPr>
          <w:sz w:val="24"/>
          <w:szCs w:val="24"/>
        </w:rPr>
        <w:t>при установлении Покупателем нецелесообразности дальнейшего исполнения Договора – с возмещением Поставщику фактически понесенных затрат;</w:t>
      </w:r>
    </w:p>
    <w:p>
      <w:pPr>
        <w:pStyle w:val="Normal"/>
        <w:widowControl w:val="false"/>
        <w:numPr>
          <w:ilvl w:val="2"/>
          <w:numId w:val="6"/>
        </w:numPr>
        <w:shd w:val="clear" w:color="auto" w:fill="FFFFFF"/>
        <w:spacing w:before="0" w:after="120"/>
        <w:ind w:left="0" w:firstLine="567"/>
        <w:jc w:val="both"/>
        <w:rPr>
          <w:sz w:val="24"/>
          <w:szCs w:val="24"/>
        </w:rPr>
      </w:pPr>
      <w:r>
        <w:rPr>
          <w:sz w:val="24"/>
          <w:szCs w:val="24"/>
        </w:rPr>
        <w:t>наложение ареста на имущество Поставщика, введение арбитражным судом процедуры несостоятельности (банкротства) в отношении Поставщика;</w:t>
      </w:r>
    </w:p>
    <w:p>
      <w:pPr>
        <w:pStyle w:val="Normal"/>
        <w:widowControl w:val="false"/>
        <w:numPr>
          <w:ilvl w:val="2"/>
          <w:numId w:val="6"/>
        </w:numPr>
        <w:shd w:val="clear" w:color="auto" w:fill="FFFFFF"/>
        <w:spacing w:before="0" w:after="120"/>
        <w:ind w:left="0" w:firstLine="567"/>
        <w:jc w:val="both"/>
        <w:rPr>
          <w:sz w:val="24"/>
          <w:szCs w:val="24"/>
        </w:rPr>
      </w:pPr>
      <w:r>
        <w:rPr>
          <w:sz w:val="24"/>
          <w:szCs w:val="24"/>
        </w:rPr>
        <w:t>нарушение более чем на 15 (пятнадцать)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Покупателю таких документов;</w:t>
      </w:r>
    </w:p>
    <w:p>
      <w:pPr>
        <w:pStyle w:val="Normal"/>
        <w:widowControl w:val="false"/>
        <w:numPr>
          <w:ilvl w:val="2"/>
          <w:numId w:val="6"/>
        </w:numPr>
        <w:shd w:val="clear" w:color="auto" w:fill="FFFFFF"/>
        <w:spacing w:before="0" w:after="120"/>
        <w:ind w:left="0" w:firstLine="567"/>
        <w:jc w:val="both"/>
        <w:rPr>
          <w:sz w:val="24"/>
          <w:szCs w:val="24"/>
        </w:rPr>
      </w:pPr>
      <w:r>
        <w:rPr>
          <w:sz w:val="24"/>
          <w:szCs w:val="24"/>
        </w:rPr>
        <w:t>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обстоятельствах, указанных в разделе 13 Договора, и имеющих существенное значение для его заключения и исполнения;</w:t>
      </w:r>
    </w:p>
    <w:p>
      <w:pPr>
        <w:pStyle w:val="Normal"/>
        <w:widowControl w:val="false"/>
        <w:numPr>
          <w:ilvl w:val="2"/>
          <w:numId w:val="6"/>
        </w:numPr>
        <w:shd w:val="clear" w:color="auto" w:fill="FFFFFF"/>
        <w:spacing w:before="0" w:after="120"/>
        <w:ind w:left="0" w:firstLine="567"/>
        <w:jc w:val="both"/>
        <w:rPr>
          <w:sz w:val="24"/>
          <w:szCs w:val="24"/>
        </w:rPr>
      </w:pPr>
      <w:r>
        <w:rPr>
          <w:sz w:val="24"/>
          <w:szCs w:val="24"/>
        </w:rPr>
        <w:t>если Поставщик без согласия Покупателя передает и/или пытается передать третьим лицам права и обязанности по Договору или какие-либо права и обязанности, установленные в нем.</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Уведомление о расторжении Договора должно быть направлено Покупателем Поставщику посредством факсимильной/электронной связи не позднее, чем за 5 (пять) календарных дней до предполагаемой даты расторжения Договора с последующим направлением оригинала.</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Договор считается расторгнутым по основаниям, предусмотренным пунктом 12.2., с даты, указанной в уведомлении о расторжении Договора.</w:t>
      </w:r>
    </w:p>
    <w:p>
      <w:pPr>
        <w:pStyle w:val="ListParagraph"/>
        <w:numPr>
          <w:ilvl w:val="1"/>
          <w:numId w:val="6"/>
        </w:numPr>
        <w:shd w:val="clear" w:color="auto" w:fill="FFFFFF"/>
        <w:tabs>
          <w:tab w:val="clear" w:pos="720"/>
          <w:tab w:val="left" w:pos="1418" w:leader="none"/>
        </w:tabs>
        <w:spacing w:before="0" w:after="120"/>
        <w:ind w:left="0" w:firstLine="567"/>
        <w:contextualSpacing w:val="false"/>
        <w:jc w:val="both"/>
        <w:rPr>
          <w:sz w:val="24"/>
          <w:szCs w:val="24"/>
        </w:rPr>
      </w:pPr>
      <w:r>
        <w:rPr>
          <w:sz w:val="24"/>
          <w:szCs w:val="24"/>
        </w:rPr>
        <w:t>Поставщик ни при каких обстоятельствах не имеет права на компенсацию упущенной выгоды в связи с досрочным расторжением Договора по любым основаниям.</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bCs/>
          <w:sz w:val="24"/>
          <w:szCs w:val="24"/>
        </w:rPr>
        <w:t>Заверения</w:t>
      </w:r>
      <w:r>
        <w:rPr>
          <w:b/>
          <w:sz w:val="24"/>
          <w:szCs w:val="24"/>
        </w:rPr>
        <w:t xml:space="preserve"> Сторон</w:t>
      </w:r>
    </w:p>
    <w:p>
      <w:pPr>
        <w:pStyle w:val="ListParagraph"/>
        <w:numPr>
          <w:ilvl w:val="1"/>
          <w:numId w:val="6"/>
        </w:numPr>
        <w:shd w:val="clear" w:color="auto" w:fill="FFFFFF"/>
        <w:spacing w:before="0" w:after="120"/>
        <w:ind w:left="0" w:firstLine="567"/>
        <w:contextualSpacing w:val="false"/>
        <w:jc w:val="both"/>
        <w:rPr>
          <w:sz w:val="24"/>
          <w:szCs w:val="24"/>
        </w:rPr>
      </w:pPr>
      <w:r>
        <w:rPr>
          <w:bCs/>
          <w:sz w:val="24"/>
          <w:szCs w:val="24"/>
        </w:rPr>
        <w:t>Каждая</w:t>
      </w:r>
      <w:r>
        <w:rPr>
          <w:sz w:val="24"/>
          <w:szCs w:val="24"/>
        </w:rPr>
        <w:t xml:space="preserve"> из Сторон заявляет и подтверждает другой Стороне, что:</w:t>
      </w:r>
    </w:p>
    <w:p>
      <w:pPr>
        <w:pStyle w:val="ListParagraph"/>
        <w:widowControl/>
        <w:numPr>
          <w:ilvl w:val="0"/>
          <w:numId w:val="11"/>
        </w:numPr>
        <w:shd w:val="clear" w:color="auto" w:fill="FFFFFF"/>
        <w:tabs>
          <w:tab w:val="clear" w:pos="720"/>
          <w:tab w:val="left" w:pos="709" w:leader="none"/>
          <w:tab w:val="left" w:pos="1134" w:leader="none"/>
        </w:tabs>
        <w:ind w:left="0" w:firstLine="709"/>
        <w:jc w:val="both"/>
        <w:rPr>
          <w:sz w:val="24"/>
          <w:szCs w:val="24"/>
        </w:rPr>
      </w:pPr>
      <w:r>
        <w:rPr>
          <w:sz w:val="24"/>
          <w:szCs w:val="24"/>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pPr>
        <w:pStyle w:val="ListParagraph"/>
        <w:widowControl/>
        <w:numPr>
          <w:ilvl w:val="0"/>
          <w:numId w:val="11"/>
        </w:numPr>
        <w:shd w:val="clear" w:color="auto" w:fill="FFFFFF"/>
        <w:tabs>
          <w:tab w:val="clear" w:pos="720"/>
          <w:tab w:val="left" w:pos="709" w:leader="none"/>
          <w:tab w:val="left" w:pos="1134" w:leader="none"/>
        </w:tabs>
        <w:ind w:left="0" w:firstLine="709"/>
        <w:jc w:val="both"/>
        <w:rPr>
          <w:sz w:val="24"/>
          <w:szCs w:val="24"/>
        </w:rPr>
      </w:pPr>
      <w:r>
        <w:rPr>
          <w:sz w:val="24"/>
          <w:szCs w:val="24"/>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widowControl/>
        <w:numPr>
          <w:ilvl w:val="0"/>
          <w:numId w:val="11"/>
        </w:numPr>
        <w:shd w:val="clear" w:color="auto" w:fill="FFFFFF"/>
        <w:tabs>
          <w:tab w:val="clear" w:pos="720"/>
          <w:tab w:val="left" w:pos="709" w:leader="none"/>
          <w:tab w:val="left" w:pos="1134" w:leader="none"/>
        </w:tabs>
        <w:ind w:left="0" w:firstLine="709"/>
        <w:jc w:val="both"/>
        <w:rPr>
          <w:sz w:val="24"/>
          <w:szCs w:val="24"/>
        </w:rPr>
      </w:pPr>
      <w:r>
        <w:rPr>
          <w:sz w:val="24"/>
          <w:szCs w:val="24"/>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уставными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widowControl/>
        <w:numPr>
          <w:ilvl w:val="0"/>
          <w:numId w:val="11"/>
        </w:numPr>
        <w:shd w:val="clear" w:color="auto" w:fill="FFFFFF"/>
        <w:tabs>
          <w:tab w:val="clear" w:pos="720"/>
          <w:tab w:val="left" w:pos="709" w:leader="none"/>
          <w:tab w:val="left" w:pos="1134" w:leader="none"/>
        </w:tabs>
        <w:ind w:left="0" w:firstLine="709"/>
        <w:jc w:val="both"/>
        <w:rPr>
          <w:sz w:val="24"/>
          <w:szCs w:val="24"/>
        </w:rPr>
      </w:pPr>
      <w:r>
        <w:rPr>
          <w:sz w:val="24"/>
          <w:szCs w:val="24"/>
        </w:rPr>
        <w:t>лица, подписывающие от имени Сторон настоящий Договор, надлежащим образом уполномочены на его подписание;</w:t>
      </w:r>
    </w:p>
    <w:p>
      <w:pPr>
        <w:pStyle w:val="ListParagraph"/>
        <w:widowControl/>
        <w:numPr>
          <w:ilvl w:val="0"/>
          <w:numId w:val="11"/>
        </w:numPr>
        <w:shd w:val="clear" w:color="auto" w:fill="FFFFFF"/>
        <w:tabs>
          <w:tab w:val="clear" w:pos="720"/>
          <w:tab w:val="left" w:pos="709" w:leader="none"/>
          <w:tab w:val="left" w:pos="1134" w:leader="none"/>
        </w:tabs>
        <w:ind w:left="0" w:firstLine="709"/>
        <w:jc w:val="both"/>
        <w:rPr>
          <w:sz w:val="24"/>
          <w:szCs w:val="24"/>
        </w:rPr>
      </w:pPr>
      <w:r>
        <w:rPr>
          <w:sz w:val="24"/>
          <w:szCs w:val="24"/>
        </w:rPr>
        <w:t>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w:t>
      </w:r>
    </w:p>
    <w:p>
      <w:pPr>
        <w:pStyle w:val="ListParagraph"/>
        <w:numPr>
          <w:ilvl w:val="1"/>
          <w:numId w:val="6"/>
        </w:numPr>
        <w:shd w:val="clear" w:color="auto" w:fill="FFFFFF"/>
        <w:spacing w:before="0" w:after="120"/>
        <w:ind w:left="0" w:firstLine="567"/>
        <w:contextualSpacing w:val="false"/>
        <w:jc w:val="both"/>
        <w:rPr>
          <w:sz w:val="24"/>
          <w:szCs w:val="24"/>
        </w:rPr>
      </w:pPr>
      <w:r>
        <w:rPr>
          <w:sz w:val="24"/>
          <w:szCs w:val="24"/>
        </w:rPr>
        <w:t>Поставщик заявляет и заверяет Покупателя в том, что на момент заключения настоящего Договора:</w:t>
      </w:r>
    </w:p>
    <w:p>
      <w:pPr>
        <w:pStyle w:val="ListParagraph"/>
        <w:widowControl/>
        <w:numPr>
          <w:ilvl w:val="0"/>
          <w:numId w:val="13"/>
        </w:numPr>
        <w:shd w:val="clear" w:color="auto" w:fill="FFFFFF"/>
        <w:tabs>
          <w:tab w:val="clear" w:pos="720"/>
          <w:tab w:val="left" w:pos="709" w:leader="none"/>
          <w:tab w:val="left" w:pos="1134" w:leader="none"/>
        </w:tabs>
        <w:ind w:left="0" w:firstLine="709"/>
        <w:jc w:val="both"/>
        <w:rPr>
          <w:sz w:val="24"/>
          <w:szCs w:val="24"/>
        </w:rPr>
      </w:pPr>
      <w:r>
        <w:rPr>
          <w:sz w:val="24"/>
          <w:szCs w:val="24"/>
        </w:rPr>
        <w:t>учредителем / учредителями Поставщика являются лица, не являющиеся массовыми учредителем / учредителями;</w:t>
      </w:r>
    </w:p>
    <w:p>
      <w:pPr>
        <w:pStyle w:val="ListParagraph"/>
        <w:widowControl/>
        <w:numPr>
          <w:ilvl w:val="0"/>
          <w:numId w:val="13"/>
        </w:numPr>
        <w:shd w:val="clear" w:color="auto" w:fill="FFFFFF"/>
        <w:tabs>
          <w:tab w:val="clear" w:pos="720"/>
          <w:tab w:val="left" w:pos="709" w:leader="none"/>
          <w:tab w:val="left" w:pos="1134" w:leader="none"/>
        </w:tabs>
        <w:ind w:left="0" w:firstLine="709"/>
        <w:jc w:val="both"/>
        <w:rPr>
          <w:sz w:val="24"/>
          <w:szCs w:val="24"/>
        </w:rPr>
      </w:pPr>
      <w:r>
        <w:rPr>
          <w:sz w:val="24"/>
          <w:szCs w:val="24"/>
        </w:rPr>
        <w:t>руководителем Поставщика является лицо, не являющееся массовым руководителем;</w:t>
      </w:r>
    </w:p>
    <w:p>
      <w:pPr>
        <w:pStyle w:val="ListParagraph"/>
        <w:widowControl/>
        <w:numPr>
          <w:ilvl w:val="0"/>
          <w:numId w:val="13"/>
        </w:numPr>
        <w:shd w:val="clear" w:color="auto" w:fill="FFFFFF"/>
        <w:tabs>
          <w:tab w:val="clear" w:pos="720"/>
          <w:tab w:val="left" w:pos="709" w:leader="none"/>
          <w:tab w:val="left" w:pos="1134" w:leader="none"/>
        </w:tabs>
        <w:ind w:left="0" w:firstLine="709"/>
        <w:jc w:val="both"/>
        <w:rPr>
          <w:sz w:val="24"/>
          <w:szCs w:val="24"/>
        </w:rPr>
      </w:pPr>
      <w:r>
        <w:rPr>
          <w:sz w:val="24"/>
          <w:szCs w:val="24"/>
        </w:rPr>
        <w:t>фактически находится по адресу, указанному в Едином государственном реестре юридических лиц;</w:t>
      </w:r>
    </w:p>
    <w:p>
      <w:pPr>
        <w:pStyle w:val="ListParagraph"/>
        <w:widowControl/>
        <w:numPr>
          <w:ilvl w:val="0"/>
          <w:numId w:val="13"/>
        </w:numPr>
        <w:shd w:val="clear" w:color="auto" w:fill="FFFFFF"/>
        <w:tabs>
          <w:tab w:val="clear" w:pos="720"/>
          <w:tab w:val="left" w:pos="709" w:leader="none"/>
          <w:tab w:val="left" w:pos="1134" w:leader="none"/>
        </w:tabs>
        <w:ind w:left="0" w:firstLine="709"/>
        <w:jc w:val="both"/>
        <w:rPr>
          <w:sz w:val="24"/>
          <w:szCs w:val="24"/>
        </w:rPr>
      </w:pPr>
      <w:r>
        <w:rPr>
          <w:sz w:val="24"/>
          <w:szCs w:val="24"/>
        </w:rPr>
        <w:t>своевременно и в полном объеме уплачивает налоги и сборы в соответствии с законодательством Российской Федерации;</w:t>
      </w:r>
    </w:p>
    <w:p>
      <w:pPr>
        <w:pStyle w:val="ListParagraph"/>
        <w:widowControl/>
        <w:numPr>
          <w:ilvl w:val="0"/>
          <w:numId w:val="12"/>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Договору или в связи с ним;</w:t>
      </w:r>
    </w:p>
    <w:p>
      <w:pPr>
        <w:pStyle w:val="ListParagraph"/>
        <w:widowControl/>
        <w:numPr>
          <w:ilvl w:val="0"/>
          <w:numId w:val="12"/>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тщательно изучил всю информацию, связанную с Договором, в том числе по вопросам, влияющим на сроки поставки, стоимость и качество Продукции, полностью ознакомлен со всеми условиями поставки Продукции, и принимает на себя все расходы, риски и трудности исполнения обязательств, возникающих из Договора или в связи с ним;</w:t>
      </w:r>
    </w:p>
    <w:p>
      <w:pPr>
        <w:pStyle w:val="ListParagraph"/>
        <w:widowControl/>
        <w:numPr>
          <w:ilvl w:val="0"/>
          <w:numId w:val="12"/>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тщательно изучил все регламенты Покупателя и подтверждает готовность неукоснительного соблюдения в полном объеме предъявляемых Покупателем требований;</w:t>
      </w:r>
    </w:p>
    <w:p>
      <w:pPr>
        <w:pStyle w:val="ListParagraph"/>
        <w:widowControl/>
        <w:numPr>
          <w:ilvl w:val="0"/>
          <w:numId w:val="12"/>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widowControl/>
        <w:numPr>
          <w:ilvl w:val="0"/>
          <w:numId w:val="12"/>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вся информация, предоставленная Покупателю, является достоверной, полной и точной, и Поставщик не скрыл никаких обстоятельств, которые при их обнаружении могли бы негативно повлиять на решение Покупателя заключить настоящий Договор на указанных в нем условиях.</w:t>
      </w:r>
    </w:p>
    <w:p>
      <w:pPr>
        <w:pStyle w:val="ListParagraph"/>
        <w:numPr>
          <w:ilvl w:val="1"/>
          <w:numId w:val="6"/>
        </w:numPr>
        <w:shd w:val="clear" w:color="auto" w:fill="FFFFFF"/>
        <w:spacing w:before="0" w:after="120"/>
        <w:ind w:left="0" w:firstLine="567"/>
        <w:contextualSpacing w:val="false"/>
        <w:jc w:val="both"/>
        <w:rPr>
          <w:sz w:val="24"/>
          <w:szCs w:val="24"/>
        </w:rPr>
      </w:pPr>
      <w:r>
        <w:rPr>
          <w:sz w:val="24"/>
          <w:szCs w:val="24"/>
        </w:rPr>
        <w:t>При заключении и исполнении настоящего Договора каждая Сторона полагается на достоверность, точность и полноту заверений другой Стороны, изложенных в настоящем разделе Договора.</w:t>
      </w:r>
    </w:p>
    <w:p>
      <w:pPr>
        <w:pStyle w:val="ListParagraph"/>
        <w:numPr>
          <w:ilvl w:val="1"/>
          <w:numId w:val="6"/>
        </w:numPr>
        <w:shd w:val="clear" w:color="auto" w:fill="FFFFFF"/>
        <w:spacing w:before="0" w:after="120"/>
        <w:ind w:left="0" w:firstLine="567"/>
        <w:contextualSpacing w:val="false"/>
        <w:jc w:val="both"/>
        <w:rPr>
          <w:sz w:val="24"/>
          <w:szCs w:val="24"/>
        </w:rPr>
      </w:pPr>
      <w:r>
        <w:rPr>
          <w:sz w:val="24"/>
          <w:szCs w:val="24"/>
        </w:rPr>
        <w:t xml:space="preserve">В случае, если при заключении Договора Поставщик предоставил </w:t>
      </w:r>
      <w:r>
        <w:rPr>
          <w:bCs/>
          <w:sz w:val="24"/>
          <w:szCs w:val="24"/>
        </w:rPr>
        <w:t>Покупателю</w:t>
      </w:r>
      <w:r>
        <w:rPr>
          <w:sz w:val="24"/>
          <w:szCs w:val="24"/>
        </w:rPr>
        <w:t xml:space="preserve">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sz w:val="24"/>
          <w:szCs w:val="24"/>
        </w:rPr>
        <w:t xml:space="preserve">Поставщик </w:t>
      </w:r>
      <w:r>
        <w:rPr>
          <w:sz w:val="24"/>
          <w:szCs w:val="24"/>
        </w:rPr>
        <w:t xml:space="preserve">обязан по требованию </w:t>
      </w:r>
      <w:r>
        <w:rPr>
          <w:bCs/>
          <w:sz w:val="24"/>
          <w:szCs w:val="24"/>
        </w:rPr>
        <w:t>Покупателя</w:t>
      </w:r>
      <w:r>
        <w:rPr>
          <w:sz w:val="24"/>
          <w:szCs w:val="24"/>
        </w:rPr>
        <w:t xml:space="preserve"> уплатить последнему неустойку в размере 5 (пять) % от Цены Договора, указанной в пункте 2.1. Договора.</w:t>
      </w:r>
    </w:p>
    <w:p>
      <w:pPr>
        <w:pStyle w:val="Normal"/>
        <w:shd w:val="clear" w:color="auto" w:fill="FFFFFF"/>
        <w:spacing w:before="0" w:after="120"/>
        <w:ind w:firstLine="567"/>
        <w:jc w:val="both"/>
        <w:rPr>
          <w:sz w:val="24"/>
          <w:szCs w:val="24"/>
        </w:rPr>
      </w:pPr>
      <w:r>
        <w:rPr>
          <w:sz w:val="24"/>
          <w:szCs w:val="24"/>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настоящего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Заключительные положения</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Договор вступает в силу с даты его подписания Сторонами и действует до полного исполнения ими принятых на себя обязательств.</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Все приложения, изменения и дополнения к Договору действительны при условии, что они совершены в письменной форме и подписаны обеими Сторонами, за исключением изменений, предусмотренных п. 14.6. Договора.</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Приложения, изменения и дополнения, оформленные надлежащим образом, являются неотъемлемой частью Договора.</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В случае наличия любых расхождений между основным текстом Договора и текстами приложений к нему, приоритет имеет текст Договора.</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Обмен сведениями между Сторонами по любым вопросам, связанным с Договором, включая уведомления и иные сообщения, может осуществляться только в письменной форме. Использование средств факсимильной или электронной связи не допускается, за исключением случаев обмена оперативной информацией, который не влечет возникновения, изменения либо прекращения гражданских прав и обязательств.</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Стороны обязуются уведомлять друг друга об изменении реквизитов, указанных в разделе 16 Договора, не позднее 3 (трех) рабочих дней после такого изменения в порядке, установленном п. 14.7. Договора.</w:t>
      </w:r>
    </w:p>
    <w:p>
      <w:pPr>
        <w:pStyle w:val="Normal"/>
        <w:widowControl w:val="false"/>
        <w:numPr>
          <w:ilvl w:val="1"/>
          <w:numId w:val="6"/>
        </w:numPr>
        <w:shd w:val="clear" w:color="auto" w:fill="FFFFFF"/>
        <w:tabs>
          <w:tab w:val="left" w:pos="720" w:leader="none"/>
        </w:tabs>
        <w:spacing w:before="0" w:after="120"/>
        <w:ind w:left="0" w:firstLine="567"/>
        <w:jc w:val="both"/>
        <w:rPr>
          <w:bCs/>
          <w:sz w:val="24"/>
          <w:szCs w:val="24"/>
        </w:rPr>
      </w:pPr>
      <w:r>
        <w:rPr>
          <w:sz w:val="24"/>
          <w:szCs w:val="24"/>
        </w:rPr>
        <w:t>Документ</w:t>
      </w:r>
      <w:r>
        <w:rPr>
          <w:bCs/>
          <w:sz w:val="24"/>
          <w:szCs w:val="24"/>
        </w:rPr>
        <w:t xml:space="preserve"> будет считаться полученным:</w:t>
      </w:r>
    </w:p>
    <w:p>
      <w:pPr>
        <w:pStyle w:val="ListParagraph"/>
        <w:widowControl/>
        <w:numPr>
          <w:ilvl w:val="2"/>
          <w:numId w:val="6"/>
        </w:numPr>
        <w:shd w:val="clear" w:color="auto" w:fill="FFFFFF"/>
        <w:spacing w:before="0" w:after="120"/>
        <w:ind w:left="0" w:firstLine="567"/>
        <w:contextualSpacing w:val="false"/>
        <w:jc w:val="both"/>
        <w:rPr>
          <w:bCs/>
          <w:sz w:val="24"/>
          <w:szCs w:val="24"/>
        </w:rPr>
      </w:pPr>
      <w:r>
        <w:rPr>
          <w:bCs/>
          <w:sz w:val="24"/>
          <w:szCs w:val="24"/>
        </w:rPr>
        <w:t>в случае вручения лично или отправления по почте заказным письмом, курьерской связью – в дату и время фактического вручения;</w:t>
      </w:r>
    </w:p>
    <w:p>
      <w:pPr>
        <w:pStyle w:val="ListParagraph"/>
        <w:widowControl/>
        <w:numPr>
          <w:ilvl w:val="2"/>
          <w:numId w:val="6"/>
        </w:numPr>
        <w:shd w:val="clear" w:color="auto" w:fill="FFFFFF"/>
        <w:spacing w:before="0" w:after="120"/>
        <w:ind w:left="0" w:firstLine="567"/>
        <w:contextualSpacing w:val="false"/>
        <w:jc w:val="both"/>
        <w:rPr>
          <w:bCs/>
          <w:sz w:val="24"/>
          <w:szCs w:val="24"/>
        </w:rPr>
      </w:pPr>
      <w:r>
        <w:rPr>
          <w:bCs/>
          <w:sz w:val="24"/>
          <w:szCs w:val="24"/>
        </w:rPr>
        <w:t xml:space="preserve">в случае передачи по факсимильной или электронной связи – в дату и время отправления, подтвержденного протоколом передачи, распечатанным факсимильным аппаратом отправителя, или отчетом о доставке сообщения. В случае, если передача по факсимильной или электронной связи осуществляется вне обычных рабочих часов получателя, документ будет считаться полученным в 10:00 следующего рабочего дня. Оригиналы документов, направленных с использованием факсимильной связи, должны не позднее того же дня направляться с использованием видов связи, указанных в п. 14.7.1. Договора. </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Поставщик не вправе передавать свои права и обязанности по Договору третьим лицам без предварительного письменного согласия Покупателя. В случае нарушения Поставщиком соответствующего условия, Покупатель вправе потребовать уплаты Поставщиком штрафа в размере 5 % от уступки (переданного в залог прав).</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Во всем, что не урегулировано Договором, Стороны руководствуются положениями законодательства Российской Федерации.</w:t>
      </w:r>
    </w:p>
    <w:p>
      <w:pPr>
        <w:pStyle w:val="Normal"/>
        <w:widowControl w:val="false"/>
        <w:numPr>
          <w:ilvl w:val="1"/>
          <w:numId w:val="6"/>
        </w:numPr>
        <w:shd w:val="clear" w:color="auto" w:fill="FFFFFF"/>
        <w:tabs>
          <w:tab w:val="left" w:pos="720" w:leader="none"/>
        </w:tabs>
        <w:spacing w:before="0" w:after="120"/>
        <w:ind w:left="0" w:firstLine="567"/>
        <w:jc w:val="both"/>
        <w:rPr>
          <w:bCs/>
          <w:sz w:val="24"/>
          <w:szCs w:val="24"/>
        </w:rPr>
      </w:pPr>
      <w:r>
        <w:rPr>
          <w:sz w:val="24"/>
          <w:szCs w:val="24"/>
        </w:rPr>
        <w:t>Договор</w:t>
      </w:r>
      <w:r>
        <w:rPr>
          <w:bCs/>
          <w:sz w:val="24"/>
          <w:szCs w:val="24"/>
        </w:rPr>
        <w:t xml:space="preserve"> составлен в двух оригинальных экземплярах, по одному для каждой из Сторон.</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Приложения к Договору</w:t>
      </w:r>
    </w:p>
    <w:p>
      <w:pPr>
        <w:pStyle w:val="Heading3"/>
        <w:keepNext w:val="false"/>
        <w:tabs>
          <w:tab w:val="clear" w:pos="0"/>
        </w:tabs>
        <w:overflowPunct w:val="true"/>
        <w:spacing w:before="0" w:after="120"/>
        <w:ind w:left="567" w:hanging="0"/>
        <w:jc w:val="both"/>
        <w:textAlignment w:val="baseline"/>
        <w:rPr>
          <w:b w:val="false"/>
          <w:sz w:val="24"/>
          <w:szCs w:val="24"/>
        </w:rPr>
      </w:pPr>
      <w:bookmarkStart w:id="3" w:name="sub_1"/>
      <w:r>
        <w:rPr>
          <w:b w:val="false"/>
          <w:sz w:val="24"/>
          <w:szCs w:val="24"/>
        </w:rPr>
        <w:t>- Приложение № 1 – Спецификация.</w:t>
      </w:r>
    </w:p>
    <w:p>
      <w:pPr>
        <w:pStyle w:val="Normal"/>
        <w:spacing w:before="0" w:after="120"/>
        <w:ind w:left="567" w:hanging="567"/>
        <w:rPr>
          <w:sz w:val="24"/>
          <w:szCs w:val="24"/>
        </w:rPr>
      </w:pPr>
      <w:r>
        <w:rPr>
          <w:sz w:val="24"/>
          <w:szCs w:val="24"/>
        </w:rPr>
        <w:tab/>
      </w:r>
      <w:r>
        <w:rPr>
          <w:sz w:val="24"/>
          <w:szCs w:val="24"/>
          <w:shd w:fill="auto" w:val="clear"/>
        </w:rPr>
        <w:t>- Приложение № 2 – Технические требования на поставку продукции.</w:t>
      </w:r>
      <w:bookmarkEnd w:id="3"/>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Адреса, реквизиты и подписи Сторон</w:t>
      </w:r>
    </w:p>
    <w:tbl>
      <w:tblPr>
        <w:tblW w:w="9921" w:type="dxa"/>
        <w:jc w:val="left"/>
        <w:tblInd w:w="108" w:type="dxa"/>
        <w:tblLayout w:type="fixed"/>
        <w:tblCellMar>
          <w:top w:w="0" w:type="dxa"/>
          <w:left w:w="108" w:type="dxa"/>
          <w:bottom w:w="0" w:type="dxa"/>
          <w:right w:w="108" w:type="dxa"/>
        </w:tblCellMar>
        <w:tblLook w:val="01e0" w:noVBand="0" w:noHBand="0" w:lastColumn="1" w:firstColumn="1" w:lastRow="1" w:firstRow="1"/>
      </w:tblPr>
      <w:tblGrid>
        <w:gridCol w:w="5031"/>
        <w:gridCol w:w="4889"/>
      </w:tblGrid>
      <w:tr>
        <w:trPr/>
        <w:tc>
          <w:tcPr>
            <w:tcW w:w="5031" w:type="dxa"/>
            <w:tcBorders/>
          </w:tcPr>
          <w:p>
            <w:pPr>
              <w:pStyle w:val="Normal"/>
              <w:widowControl w:val="false"/>
              <w:rPr>
                <w:b/>
                <w:sz w:val="24"/>
                <w:szCs w:val="24"/>
                <w:u w:val="single"/>
              </w:rPr>
            </w:pPr>
            <w:r>
              <w:rPr>
                <w:b/>
                <w:sz w:val="24"/>
                <w:szCs w:val="24"/>
                <w:u w:val="single"/>
              </w:rPr>
              <w:t>Покупатель:</w:t>
            </w:r>
          </w:p>
        </w:tc>
        <w:tc>
          <w:tcPr>
            <w:tcW w:w="4889" w:type="dxa"/>
            <w:tcBorders/>
          </w:tcPr>
          <w:p>
            <w:pPr>
              <w:pStyle w:val="Normal"/>
              <w:widowControl w:val="false"/>
              <w:rPr>
                <w:b/>
                <w:sz w:val="24"/>
                <w:szCs w:val="24"/>
                <w:u w:val="single"/>
              </w:rPr>
            </w:pPr>
            <w:r>
              <w:rPr>
                <w:b/>
                <w:sz w:val="24"/>
                <w:szCs w:val="24"/>
                <w:u w:val="single"/>
              </w:rPr>
              <w:t>Поставщик:</w:t>
            </w:r>
          </w:p>
        </w:tc>
      </w:tr>
      <w:tr>
        <w:trPr/>
        <w:tc>
          <w:tcPr>
            <w:tcW w:w="5031" w:type="dxa"/>
            <w:tcBorders/>
          </w:tcPr>
          <w:p>
            <w:pPr>
              <w:pStyle w:val="Normal"/>
              <w:widowControl w:val="false"/>
              <w:rPr>
                <w:b/>
                <w:sz w:val="24"/>
                <w:szCs w:val="24"/>
              </w:rPr>
            </w:pPr>
            <w:r>
              <w:rPr>
                <w:b/>
                <w:sz w:val="24"/>
                <w:szCs w:val="24"/>
              </w:rPr>
              <w:t>Акционерное общество «Гидроремонт-ВКК» (АО «Гидроремонт-ВКК»)</w:t>
            </w:r>
          </w:p>
          <w:p>
            <w:pPr>
              <w:pStyle w:val="Normal"/>
              <w:widowControl w:val="false"/>
              <w:rPr>
                <w:sz w:val="24"/>
                <w:szCs w:val="24"/>
              </w:rPr>
            </w:pPr>
            <w:r>
              <w:rPr>
                <w:sz w:val="24"/>
                <w:szCs w:val="24"/>
              </w:rPr>
              <w:t xml:space="preserve">Место нахождения: </w:t>
            </w:r>
            <w:r>
              <w:rPr>
                <w:color w:val="000000"/>
                <w:sz w:val="24"/>
                <w:szCs w:val="24"/>
                <w:lang w:val="ru-RU"/>
              </w:rPr>
              <w:t>603140, Россия, Нижегородская область, г.о. город Нижний Новгород, г. Нижний Новгород, пер. Мотальный, д. 8, помещ. ВП31, офис С1А</w:t>
            </w:r>
            <w:r>
              <w:rPr>
                <w:sz w:val="24"/>
                <w:szCs w:val="24"/>
              </w:rPr>
              <w:t>.</w:t>
            </w:r>
          </w:p>
          <w:p>
            <w:pPr>
              <w:pStyle w:val="Normal"/>
              <w:widowControl w:val="false"/>
              <w:rPr>
                <w:b/>
                <w:bCs/>
                <w:sz w:val="24"/>
                <w:szCs w:val="24"/>
              </w:rPr>
            </w:pPr>
            <w:r>
              <w:rPr>
                <w:b/>
                <w:bCs/>
                <w:sz w:val="24"/>
                <w:szCs w:val="24"/>
              </w:rPr>
              <w:t>Саратовский филиал АО «Гидроремонт-ВКК» в г. Балаково</w:t>
            </w:r>
          </w:p>
          <w:p>
            <w:pPr>
              <w:pStyle w:val="Normal"/>
              <w:widowControl w:val="false"/>
              <w:rPr>
                <w:sz w:val="24"/>
                <w:szCs w:val="24"/>
              </w:rPr>
            </w:pPr>
            <w:r>
              <w:rPr>
                <w:sz w:val="24"/>
                <w:szCs w:val="24"/>
              </w:rPr>
              <w:t>Место нахождения филиала: 413840, Российская Федерация, Саратовская обл., г. Балаково.</w:t>
            </w:r>
          </w:p>
          <w:p>
            <w:pPr>
              <w:pStyle w:val="Normal"/>
              <w:widowControl w:val="false"/>
              <w:rPr>
                <w:sz w:val="24"/>
                <w:szCs w:val="24"/>
              </w:rPr>
            </w:pPr>
            <w:r>
              <w:rPr>
                <w:sz w:val="24"/>
                <w:szCs w:val="24"/>
              </w:rPr>
              <w:t>Почтовый адрес для отправки корреспонденции в филиал: 413865, Российская Федерация, Саратовская область, г. Балаково, ул. Заовражная, 48, а/я 582, 25-ОПС.</w:t>
            </w:r>
          </w:p>
          <w:p>
            <w:pPr>
              <w:pStyle w:val="Normal"/>
              <w:widowControl w:val="false"/>
              <w:rPr>
                <w:sz w:val="24"/>
                <w:szCs w:val="24"/>
              </w:rPr>
            </w:pPr>
            <w:r>
              <w:rPr>
                <w:sz w:val="24"/>
                <w:szCs w:val="24"/>
              </w:rPr>
              <w:t>ИНН/КПП 6345012488/643903001</w:t>
            </w:r>
          </w:p>
          <w:p>
            <w:pPr>
              <w:pStyle w:val="Normal"/>
              <w:widowControl w:val="false"/>
              <w:rPr>
                <w:sz w:val="24"/>
                <w:szCs w:val="24"/>
              </w:rPr>
            </w:pPr>
            <w:r>
              <w:rPr>
                <w:sz w:val="24"/>
                <w:szCs w:val="24"/>
              </w:rPr>
              <w:t>ОГРН: 1036301733005</w:t>
            </w:r>
          </w:p>
          <w:p>
            <w:pPr>
              <w:pStyle w:val="Normal"/>
              <w:widowControl w:val="false"/>
              <w:rPr>
                <w:sz w:val="24"/>
                <w:szCs w:val="24"/>
              </w:rPr>
            </w:pPr>
            <w:r>
              <w:rPr>
                <w:sz w:val="24"/>
                <w:szCs w:val="24"/>
              </w:rPr>
              <w:t>ОКВЭД: 33.12</w:t>
            </w:r>
          </w:p>
          <w:p>
            <w:pPr>
              <w:pStyle w:val="Normal"/>
              <w:widowControl w:val="false"/>
              <w:rPr>
                <w:sz w:val="24"/>
                <w:szCs w:val="24"/>
              </w:rPr>
            </w:pPr>
            <w:r>
              <w:rPr>
                <w:sz w:val="24"/>
                <w:szCs w:val="24"/>
              </w:rPr>
              <w:t>ОКПО: 65814475</w:t>
            </w:r>
          </w:p>
          <w:p>
            <w:pPr>
              <w:pStyle w:val="Normal"/>
              <w:widowControl w:val="false"/>
              <w:rPr>
                <w:sz w:val="24"/>
                <w:szCs w:val="24"/>
              </w:rPr>
            </w:pPr>
            <w:r>
              <w:rPr>
                <w:sz w:val="24"/>
                <w:szCs w:val="24"/>
              </w:rPr>
              <w:t>Наименование банка: БАНК ГПБ (АО)</w:t>
            </w:r>
          </w:p>
          <w:p>
            <w:pPr>
              <w:pStyle w:val="Normal"/>
              <w:widowControl w:val="false"/>
              <w:rPr>
                <w:sz w:val="24"/>
                <w:szCs w:val="24"/>
              </w:rPr>
            </w:pPr>
            <w:r>
              <w:rPr>
                <w:sz w:val="24"/>
                <w:szCs w:val="24"/>
              </w:rPr>
              <w:t>Расчетный счет: 40702810500000046811</w:t>
            </w:r>
          </w:p>
          <w:p>
            <w:pPr>
              <w:pStyle w:val="Normal"/>
              <w:widowControl w:val="false"/>
              <w:rPr>
                <w:sz w:val="24"/>
                <w:szCs w:val="24"/>
              </w:rPr>
            </w:pPr>
            <w:r>
              <w:rPr>
                <w:sz w:val="24"/>
                <w:szCs w:val="24"/>
              </w:rPr>
              <w:t>К/с счет: 30101810200000000823</w:t>
            </w:r>
          </w:p>
          <w:p>
            <w:pPr>
              <w:pStyle w:val="Normal"/>
              <w:widowControl w:val="false"/>
              <w:rPr>
                <w:sz w:val="24"/>
                <w:szCs w:val="24"/>
              </w:rPr>
            </w:pPr>
            <w:r>
              <w:rPr>
                <w:sz w:val="24"/>
                <w:szCs w:val="24"/>
              </w:rPr>
              <w:t>БИК: 044525823</w:t>
            </w:r>
          </w:p>
          <w:p>
            <w:pPr>
              <w:pStyle w:val="Normal"/>
              <w:widowControl w:val="false"/>
              <w:rPr>
                <w:sz w:val="24"/>
                <w:szCs w:val="24"/>
              </w:rPr>
            </w:pPr>
            <w:r>
              <w:rPr>
                <w:sz w:val="24"/>
                <w:szCs w:val="24"/>
              </w:rPr>
              <w:t>Телефон 8 (8453) 35 84 50</w:t>
            </w:r>
          </w:p>
          <w:p>
            <w:pPr>
              <w:pStyle w:val="Normal"/>
              <w:widowControl w:val="false"/>
              <w:rPr/>
            </w:pPr>
            <w:r>
              <w:rPr>
                <w:sz w:val="24"/>
                <w:szCs w:val="24"/>
                <w:lang w:val="en-US"/>
              </w:rPr>
              <w:t xml:space="preserve">e-mail: </w:t>
            </w:r>
            <w:hyperlink r:id="rId8">
              <w:r>
                <w:rPr>
                  <w:sz w:val="24"/>
                  <w:szCs w:val="24"/>
                  <w:lang w:val="en-US"/>
                </w:rPr>
                <w:t>balakovo@rushydro.ru</w:t>
              </w:r>
            </w:hyperlink>
          </w:p>
          <w:p>
            <w:pPr>
              <w:pStyle w:val="Normal"/>
              <w:widowControl w:val="false"/>
              <w:rPr>
                <w:sz w:val="24"/>
                <w:szCs w:val="24"/>
              </w:rPr>
            </w:pPr>
            <w:r>
              <w:rPr>
                <w:sz w:val="24"/>
                <w:szCs w:val="24"/>
              </w:rPr>
            </w:r>
          </w:p>
        </w:tc>
        <w:tc>
          <w:tcPr>
            <w:tcW w:w="4889" w:type="dxa"/>
            <w:tcBorders/>
          </w:tcPr>
          <w:p>
            <w:pPr>
              <w:pStyle w:val="Normal"/>
              <w:widowControl w:val="false"/>
              <w:rPr>
                <w:sz w:val="22"/>
                <w:szCs w:val="22"/>
              </w:rPr>
            </w:pPr>
            <w:r>
              <w:rPr>
                <w:sz w:val="22"/>
                <w:szCs w:val="22"/>
              </w:rPr>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(наименование юридического лица)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(место нахождения)</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(почтовый адрес)</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(ОГРН)</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(ИНН/КПП)</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(номер расчетного счета)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(наименование банка, в котором</w:t>
            </w:r>
          </w:p>
          <w:p>
            <w:pPr>
              <w:pStyle w:val="Normal"/>
              <w:widowControl w:val="false"/>
              <w:rPr>
                <w:sz w:val="22"/>
                <w:szCs w:val="22"/>
              </w:rPr>
            </w:pPr>
            <w:r>
              <w:rPr>
                <w:sz w:val="22"/>
                <w:szCs w:val="22"/>
              </w:rPr>
              <w:t>открыт расчетный счет)</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(номер корреспондентского счета банка)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(БИК банка)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(номер телефона/факса)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w:t>
            </w:r>
            <w:r>
              <w:rPr>
                <w:sz w:val="22"/>
                <w:szCs w:val="22"/>
                <w:lang w:val="en-US"/>
              </w:rPr>
              <w:t>email</w:t>
            </w:r>
            <w:r>
              <w:rPr>
                <w:sz w:val="22"/>
                <w:szCs w:val="22"/>
              </w:rPr>
              <w:t>)</w:t>
            </w:r>
          </w:p>
          <w:p>
            <w:pPr>
              <w:pStyle w:val="Normal"/>
              <w:widowControl w:val="false"/>
              <w:rPr>
                <w:sz w:val="22"/>
                <w:szCs w:val="22"/>
              </w:rPr>
            </w:pPr>
            <w:r>
              <w:rPr>
                <w:sz w:val="22"/>
                <w:szCs w:val="22"/>
              </w:rPr>
            </w:r>
          </w:p>
        </w:tc>
      </w:tr>
      <w:tr>
        <w:trPr/>
        <w:tc>
          <w:tcPr>
            <w:tcW w:w="5031" w:type="dxa"/>
            <w:tcBorders/>
          </w:tcPr>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 / _______________ /</w:t>
            </w:r>
          </w:p>
          <w:p>
            <w:pPr>
              <w:pStyle w:val="Normal"/>
              <w:widowControl w:val="false"/>
              <w:rPr>
                <w:sz w:val="24"/>
                <w:szCs w:val="24"/>
              </w:rPr>
            </w:pPr>
            <w:r>
              <w:rPr>
                <w:bCs/>
                <w:sz w:val="24"/>
                <w:szCs w:val="24"/>
              </w:rPr>
              <w:t>м.п.</w:t>
            </w:r>
          </w:p>
        </w:tc>
        <w:tc>
          <w:tcPr>
            <w:tcW w:w="4889" w:type="dxa"/>
            <w:tcBorders/>
          </w:tcPr>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 / _______________ /</w:t>
            </w:r>
          </w:p>
          <w:p>
            <w:pPr>
              <w:pStyle w:val="Normal"/>
              <w:widowControl w:val="false"/>
              <w:rPr>
                <w:sz w:val="24"/>
                <w:szCs w:val="24"/>
              </w:rPr>
            </w:pPr>
            <w:r>
              <w:rPr>
                <w:sz w:val="24"/>
                <w:szCs w:val="24"/>
              </w:rPr>
              <w:t>м.п.</w:t>
            </w:r>
          </w:p>
        </w:tc>
      </w:tr>
    </w:tbl>
    <w:p>
      <w:pPr>
        <w:sectPr>
          <w:headerReference w:type="default" r:id="rId9"/>
          <w:footerReference w:type="even" r:id="rId10"/>
          <w:footerReference w:type="default" r:id="rId11"/>
          <w:footerReference w:type="first" r:id="rId12"/>
          <w:footnotePr>
            <w:numFmt w:val="decimal"/>
          </w:footnotePr>
          <w:type w:val="nextPage"/>
          <w:pgSz w:w="11906" w:h="16838"/>
          <w:pgMar w:left="1134" w:right="850" w:gutter="0" w:header="850" w:top="1264" w:footer="1134" w:bottom="1548"/>
          <w:pgNumType w:fmt="decimal"/>
          <w:formProt w:val="false"/>
          <w:textDirection w:val="lrTb"/>
          <w:docGrid w:type="default" w:linePitch="100" w:charSpace="8192"/>
        </w:sectPr>
      </w:pPr>
    </w:p>
    <w:p>
      <w:pPr>
        <w:pStyle w:val="BodyText"/>
        <w:numPr>
          <w:ilvl w:val="0"/>
          <w:numId w:val="0"/>
        </w:numPr>
        <w:spacing w:before="0" w:after="6"/>
        <w:ind w:left="0" w:firstLine="567"/>
        <w:jc w:val="right"/>
        <w:outlineLvl w:val="0"/>
        <w:rPr>
          <w:highlight w:val="none"/>
          <w:shd w:fill="auto" w:val="clear"/>
        </w:rPr>
      </w:pPr>
      <w:r>
        <w:rPr>
          <w:b/>
          <w:bCs/>
          <w:sz w:val="24"/>
          <w:szCs w:val="24"/>
          <w:shd w:fill="auto" w:val="clear"/>
        </w:rPr>
        <w:t>Приложение № 1</w:t>
      </w:r>
    </w:p>
    <w:p>
      <w:pPr>
        <w:pStyle w:val="BodyText"/>
        <w:spacing w:before="0" w:after="6"/>
        <w:ind w:firstLine="567"/>
        <w:jc w:val="right"/>
        <w:rPr>
          <w:highlight w:val="none"/>
          <w:shd w:fill="auto" w:val="clear"/>
        </w:rPr>
      </w:pPr>
      <w:r>
        <w:rPr>
          <w:bCs/>
          <w:sz w:val="24"/>
          <w:szCs w:val="24"/>
          <w:shd w:fill="auto" w:val="clear"/>
        </w:rPr>
        <w:t>к договору поставки</w:t>
      </w:r>
    </w:p>
    <w:p>
      <w:pPr>
        <w:pStyle w:val="BodyText"/>
        <w:spacing w:before="0" w:after="6"/>
        <w:ind w:firstLine="567"/>
        <w:jc w:val="right"/>
        <w:rPr>
          <w:highlight w:val="none"/>
          <w:shd w:fill="auto" w:val="clear"/>
        </w:rPr>
      </w:pPr>
      <w:r>
        <w:rPr>
          <w:bCs/>
          <w:sz w:val="24"/>
          <w:szCs w:val="24"/>
          <w:shd w:fill="auto" w:val="clear"/>
        </w:rPr>
        <w:t xml:space="preserve">№ </w:t>
      </w:r>
      <w:r>
        <w:rPr>
          <w:bCs/>
          <w:sz w:val="24"/>
          <w:szCs w:val="24"/>
          <w:shd w:fill="auto" w:val="clear"/>
        </w:rPr>
        <w:t>_____от «___» _________ ______ г.</w:t>
      </w:r>
    </w:p>
    <w:p>
      <w:pPr>
        <w:pStyle w:val="Normal"/>
        <w:numPr>
          <w:ilvl w:val="0"/>
          <w:numId w:val="0"/>
        </w:numPr>
        <w:spacing w:before="0" w:after="0"/>
        <w:ind w:left="0" w:firstLine="567"/>
        <w:jc w:val="center"/>
        <w:outlineLvl w:val="0"/>
        <w:rPr>
          <w:sz w:val="24"/>
          <w:szCs w:val="24"/>
        </w:rPr>
      </w:pPr>
      <w:r>
        <w:rPr>
          <w:b/>
          <w:sz w:val="24"/>
          <w:szCs w:val="24"/>
        </w:rPr>
        <w:t>Спецификация</w:t>
      </w:r>
    </w:p>
    <w:p>
      <w:pPr>
        <w:pStyle w:val="Normal"/>
        <w:numPr>
          <w:ilvl w:val="0"/>
          <w:numId w:val="0"/>
        </w:numPr>
        <w:spacing w:before="0" w:after="0"/>
        <w:ind w:left="0" w:firstLine="567"/>
        <w:jc w:val="center"/>
        <w:outlineLvl w:val="0"/>
        <w:rPr>
          <w:b/>
          <w:i/>
          <w:i/>
          <w:sz w:val="12"/>
          <w:szCs w:val="12"/>
        </w:rPr>
      </w:pPr>
      <w:r>
        <w:rPr>
          <w:b/>
          <w:i/>
          <w:sz w:val="12"/>
          <w:szCs w:val="12"/>
        </w:rPr>
      </w:r>
    </w:p>
    <w:tbl>
      <w:tblPr>
        <w:tblW w:w="14995" w:type="dxa"/>
        <w:jc w:val="left"/>
        <w:tblInd w:w="28" w:type="dxa"/>
        <w:tblLayout w:type="fixed"/>
        <w:tblCellMar>
          <w:top w:w="0" w:type="dxa"/>
          <w:left w:w="28" w:type="dxa"/>
          <w:bottom w:w="0" w:type="dxa"/>
          <w:right w:w="28" w:type="dxa"/>
        </w:tblCellMar>
        <w:tblLook w:val="04a0" w:noVBand="1" w:noHBand="0" w:lastColumn="0" w:firstColumn="1" w:lastRow="0" w:firstRow="1"/>
      </w:tblPr>
      <w:tblGrid>
        <w:gridCol w:w="427"/>
        <w:gridCol w:w="4387"/>
        <w:gridCol w:w="2431"/>
        <w:gridCol w:w="2507"/>
        <w:gridCol w:w="1018"/>
        <w:gridCol w:w="1663"/>
        <w:gridCol w:w="1300"/>
        <w:gridCol w:w="1260"/>
      </w:tblGrid>
      <w:tr>
        <w:trPr>
          <w:trHeight w:val="227" w:hRule="atLeast"/>
        </w:trPr>
        <w:tc>
          <w:tcPr>
            <w:tcW w:w="42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 xml:space="preserve">№ </w:t>
            </w:r>
            <w:r>
              <w:rPr>
                <w:bCs/>
              </w:rPr>
              <w:t>п/п</w:t>
            </w:r>
          </w:p>
        </w:tc>
        <w:tc>
          <w:tcPr>
            <w:tcW w:w="43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Наименование</w:t>
            </w:r>
          </w:p>
        </w:tc>
        <w:tc>
          <w:tcPr>
            <w:tcW w:w="243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pPr>
              <w:pStyle w:val="Normal"/>
              <w:widowControl w:val="false"/>
              <w:jc w:val="center"/>
              <w:rPr>
                <w:bCs/>
              </w:rPr>
            </w:pPr>
            <w:r>
              <w:rPr>
                <w:bCs/>
              </w:rPr>
              <w:t>Страна происхождения Продукции</w:t>
            </w:r>
          </w:p>
        </w:tc>
        <w:tc>
          <w:tcPr>
            <w:tcW w:w="250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pPr>
              <w:pStyle w:val="Normal"/>
              <w:widowControl w:val="false"/>
              <w:jc w:val="center"/>
              <w:rPr>
                <w:bCs/>
              </w:rPr>
            </w:pPr>
            <w:r>
              <w:rPr>
                <w:bCs/>
              </w:rPr>
              <w:t>Производитель Продукции</w:t>
            </w:r>
          </w:p>
        </w:tc>
        <w:tc>
          <w:tcPr>
            <w:tcW w:w="10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Ед. изм.</w:t>
            </w:r>
          </w:p>
        </w:tc>
        <w:tc>
          <w:tcPr>
            <w:tcW w:w="16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Кол-во</w:t>
            </w:r>
          </w:p>
        </w:tc>
        <w:tc>
          <w:tcPr>
            <w:tcW w:w="13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0"/>
                <w:szCs w:val="20"/>
              </w:rPr>
            </w:pPr>
            <w:r>
              <w:rPr>
                <w:bCs/>
                <w:sz w:val="20"/>
                <w:szCs w:val="20"/>
              </w:rPr>
              <w:t>Цена  за ед., руб. без учета НДС</w:t>
            </w:r>
          </w:p>
        </w:tc>
        <w:tc>
          <w:tcPr>
            <w:tcW w:w="12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0"/>
                <w:szCs w:val="20"/>
              </w:rPr>
            </w:pPr>
            <w:r>
              <w:rPr>
                <w:bCs/>
                <w:sz w:val="20"/>
                <w:szCs w:val="20"/>
              </w:rPr>
              <w:t>Сумма, руб.</w:t>
            </w:r>
          </w:p>
          <w:p>
            <w:pPr>
              <w:pStyle w:val="Normal"/>
              <w:widowControl w:val="false"/>
              <w:jc w:val="center"/>
              <w:rPr>
                <w:sz w:val="20"/>
                <w:szCs w:val="20"/>
              </w:rPr>
            </w:pPr>
            <w:r>
              <w:rPr>
                <w:bCs/>
                <w:sz w:val="20"/>
                <w:szCs w:val="20"/>
              </w:rPr>
              <w:t>без учета НДС</w:t>
            </w:r>
          </w:p>
        </w:tc>
      </w:tr>
      <w:tr>
        <w:trPr>
          <w:trHeight w:val="227" w:hRule="atLeast"/>
        </w:trPr>
        <w:tc>
          <w:tcPr>
            <w:tcW w:w="427"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sz w:val="20"/>
                <w:szCs w:val="20"/>
              </w:rPr>
            </w:pPr>
            <w:r>
              <w:rPr>
                <w:sz w:val="20"/>
                <w:szCs w:val="20"/>
              </w:rPr>
              <w:t>1</w:t>
            </w:r>
          </w:p>
        </w:tc>
        <w:tc>
          <w:tcPr>
            <w:tcW w:w="4387"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yle24"/>
              <w:widowControl w:val="false"/>
              <w:jc w:val="left"/>
              <w:rPr>
                <w:sz w:val="20"/>
                <w:szCs w:val="20"/>
              </w:rPr>
            </w:pPr>
            <w:r>
              <w:rPr>
                <w:rFonts w:eastAsia="Times New Roman" w:cs="Times New Roman"/>
                <w:color w:val="000000"/>
                <w:sz w:val="20"/>
                <w:szCs w:val="20"/>
                <w:u w:val="single"/>
                <w:lang w:eastAsia="ru-RU"/>
              </w:rPr>
              <w:t>Промышленный электрический проточный водонагреватель Эван ЭПВН-96. 2400 л/ч 96кВт 380В 640х470х1400мм</w:t>
            </w:r>
          </w:p>
        </w:tc>
        <w:tc>
          <w:tcPr>
            <w:tcW w:w="2431" w:type="dxa"/>
            <w:tcBorders>
              <w:top w:val="single" w:sz="4" w:space="0" w:color="000000"/>
              <w:left w:val="single" w:sz="4" w:space="0" w:color="000000"/>
              <w:bottom w:val="single" w:sz="4" w:space="0" w:color="000000"/>
              <w:right w:val="single" w:sz="4" w:space="0" w:color="000000"/>
            </w:tcBorders>
            <w:shd w:color="auto" w:fill="FFFFFF" w:val="clear"/>
            <w:tcMar>
              <w:left w:w="108" w:type="dxa"/>
              <w:right w:w="108" w:type="dxa"/>
            </w:tcMar>
            <w:vAlign w:val="center"/>
          </w:tcPr>
          <w:p>
            <w:pPr>
              <w:pStyle w:val="Normal"/>
              <w:widowControl w:val="false"/>
              <w:jc w:val="center"/>
              <w:rPr>
                <w:rFonts w:ascii="Times New Roman" w:hAnsi="Times New Roman"/>
                <w:sz w:val="20"/>
                <w:szCs w:val="20"/>
              </w:rPr>
            </w:pPr>
            <w:r>
              <w:rPr>
                <w:sz w:val="20"/>
                <w:szCs w:val="20"/>
              </w:rPr>
            </w:r>
          </w:p>
        </w:tc>
        <w:tc>
          <w:tcPr>
            <w:tcW w:w="2507" w:type="dxa"/>
            <w:tcBorders>
              <w:top w:val="single" w:sz="4" w:space="0" w:color="000000"/>
              <w:left w:val="single" w:sz="4" w:space="0" w:color="000000"/>
              <w:bottom w:val="single" w:sz="4" w:space="0" w:color="000000"/>
              <w:right w:val="single" w:sz="4" w:space="0" w:color="000000"/>
            </w:tcBorders>
            <w:shd w:color="auto" w:fill="FFFFFF" w:val="clear"/>
            <w:tcMar>
              <w:left w:w="108" w:type="dxa"/>
              <w:right w:w="108" w:type="dxa"/>
            </w:tcMar>
            <w:vAlign w:val="center"/>
          </w:tcPr>
          <w:p>
            <w:pPr>
              <w:pStyle w:val="Normal"/>
              <w:widowControl w:val="false"/>
              <w:jc w:val="center"/>
              <w:rPr>
                <w:rFonts w:ascii="Times New Roman" w:hAnsi="Times New Roman"/>
                <w:sz w:val="20"/>
                <w:szCs w:val="20"/>
              </w:rPr>
            </w:pPr>
            <w:r>
              <w:rPr>
                <w:sz w:val="20"/>
                <w:szCs w:val="20"/>
              </w:rPr>
            </w:r>
          </w:p>
        </w:tc>
        <w:tc>
          <w:tcPr>
            <w:tcW w:w="1018"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jc w:val="center"/>
              <w:rPr/>
            </w:pPr>
            <w:r>
              <w:rPr/>
              <w:t>шт</w:t>
            </w:r>
          </w:p>
        </w:tc>
        <w:tc>
          <w:tcPr>
            <w:tcW w:w="1663"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jc w:val="center"/>
              <w:rPr/>
            </w:pPr>
            <w:r>
              <w:rPr/>
              <w:t>1</w:t>
            </w:r>
          </w:p>
        </w:tc>
        <w:tc>
          <w:tcPr>
            <w:tcW w:w="1300"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jc w:val="right"/>
              <w:rPr/>
            </w:pPr>
            <w:r>
              <w:rPr/>
            </w:r>
          </w:p>
        </w:tc>
        <w:tc>
          <w:tcPr>
            <w:tcW w:w="1260"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jc w:val="right"/>
              <w:rPr>
                <w:color w:val="000000"/>
              </w:rPr>
            </w:pPr>
            <w:r>
              <w:rPr>
                <w:color w:val="000000"/>
              </w:rPr>
            </w:r>
          </w:p>
        </w:tc>
      </w:tr>
      <w:tr>
        <w:trPr>
          <w:trHeight w:val="227" w:hRule="atLeast"/>
        </w:trPr>
        <w:tc>
          <w:tcPr>
            <w:tcW w:w="13733" w:type="dxa"/>
            <w:gridSpan w:val="7"/>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ind w:firstLine="567"/>
              <w:jc w:val="right"/>
              <w:rPr/>
            </w:pPr>
            <w:r>
              <w:rPr>
                <w:b/>
              </w:rPr>
              <w:t>ИТОГО:</w:t>
            </w:r>
          </w:p>
        </w:tc>
        <w:tc>
          <w:tcPr>
            <w:tcW w:w="1260"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jc w:val="right"/>
              <w:rPr>
                <w:b/>
              </w:rPr>
            </w:pPr>
            <w:r>
              <w:rPr>
                <w:b/>
              </w:rPr>
            </w:r>
          </w:p>
        </w:tc>
      </w:tr>
      <w:tr>
        <w:trPr>
          <w:trHeight w:val="227" w:hRule="atLeast"/>
        </w:trPr>
        <w:tc>
          <w:tcPr>
            <w:tcW w:w="13733" w:type="dxa"/>
            <w:gridSpan w:val="7"/>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ind w:firstLine="567"/>
              <w:jc w:val="right"/>
              <w:rPr/>
            </w:pPr>
            <w:r>
              <w:rPr>
                <w:b/>
                <w:u w:val="single"/>
              </w:rPr>
              <w:t>Кроме того НДС __ %:</w:t>
            </w:r>
          </w:p>
        </w:tc>
        <w:tc>
          <w:tcPr>
            <w:tcW w:w="1260"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jc w:val="right"/>
              <w:rPr>
                <w:b/>
              </w:rPr>
            </w:pPr>
            <w:r>
              <w:rPr>
                <w:b/>
              </w:rPr>
            </w:r>
          </w:p>
        </w:tc>
      </w:tr>
      <w:tr>
        <w:trPr>
          <w:trHeight w:val="227" w:hRule="atLeast"/>
        </w:trPr>
        <w:tc>
          <w:tcPr>
            <w:tcW w:w="13733" w:type="dxa"/>
            <w:gridSpan w:val="7"/>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ind w:firstLine="567"/>
              <w:jc w:val="right"/>
              <w:rPr/>
            </w:pPr>
            <w:r>
              <w:rPr>
                <w:b/>
                <w:bCs/>
                <w:u w:val="single"/>
              </w:rPr>
              <w:t>ИТОГО с НДС ___%:</w:t>
            </w:r>
          </w:p>
        </w:tc>
        <w:tc>
          <w:tcPr>
            <w:tcW w:w="1260"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jc w:val="right"/>
              <w:rPr>
                <w:b/>
              </w:rPr>
            </w:pPr>
            <w:r>
              <w:rPr>
                <w:b/>
              </w:rPr>
            </w:r>
          </w:p>
        </w:tc>
      </w:tr>
    </w:tbl>
    <w:p>
      <w:pPr>
        <w:pStyle w:val="BodyText"/>
        <w:rPr>
          <w:sz w:val="22"/>
          <w:szCs w:val="22"/>
        </w:rPr>
      </w:pPr>
      <w:r>
        <w:rPr>
          <w:b/>
          <w:bCs/>
          <w:i/>
          <w:sz w:val="22"/>
          <w:szCs w:val="22"/>
        </w:rPr>
        <w:t>Условия поставки:</w:t>
      </w:r>
    </w:p>
    <w:p>
      <w:pPr>
        <w:pStyle w:val="ListParagraph"/>
        <w:shd w:val="clear" w:color="auto" w:fill="FFFFFF"/>
        <w:tabs>
          <w:tab w:val="clear" w:pos="720"/>
          <w:tab w:val="left" w:pos="851" w:leader="none"/>
          <w:tab w:val="left" w:pos="5321" w:leader="none"/>
        </w:tabs>
        <w:spacing w:before="0" w:after="0"/>
        <w:ind w:left="0" w:hanging="0"/>
        <w:contextualSpacing w:val="false"/>
        <w:jc w:val="both"/>
        <w:rPr>
          <w:sz w:val="22"/>
          <w:szCs w:val="22"/>
        </w:rPr>
      </w:pPr>
      <w:r>
        <w:rPr>
          <w:bCs/>
          <w:sz w:val="22"/>
          <w:szCs w:val="22"/>
        </w:rPr>
        <w:t xml:space="preserve">1. Общая сумма Спецификации составляет </w:t>
      </w:r>
      <w:r>
        <w:rPr>
          <w:b w:val="false"/>
          <w:bCs w:val="false"/>
          <w:sz w:val="22"/>
          <w:szCs w:val="22"/>
          <w:u w:val="none"/>
        </w:rPr>
        <w:t xml:space="preserve">__________(__________________) рублей _____ </w:t>
      </w:r>
      <w:r>
        <w:rPr>
          <w:b w:val="false"/>
          <w:bCs/>
          <w:sz w:val="22"/>
          <w:szCs w:val="22"/>
          <w:u w:val="none"/>
        </w:rPr>
        <w:t xml:space="preserve">копеек </w:t>
      </w:r>
      <w:r>
        <w:rPr>
          <w:b w:val="false"/>
          <w:bCs/>
          <w:sz w:val="22"/>
          <w:szCs w:val="22"/>
          <w:u w:val="single"/>
        </w:rPr>
        <w:t>без учёта НДС, при этом НДС исчисляется дополнительно по ставке, установленной ст.164 Налогового кодекса РФ.</w:t>
      </w:r>
      <w:r>
        <w:rPr>
          <w:rStyle w:val="FootnoteReference"/>
          <w:b w:val="false"/>
          <w:bCs/>
          <w:sz w:val="22"/>
          <w:szCs w:val="22"/>
          <w:u w:val="single"/>
        </w:rPr>
        <w:footnoteReference w:id="6"/>
      </w:r>
    </w:p>
    <w:p>
      <w:pPr>
        <w:pStyle w:val="Normal"/>
        <w:widowControl w:val="false"/>
        <w:jc w:val="both"/>
        <w:rPr>
          <w:sz w:val="22"/>
          <w:szCs w:val="22"/>
        </w:rPr>
      </w:pPr>
      <w:r>
        <w:rPr>
          <w:sz w:val="22"/>
          <w:szCs w:val="22"/>
        </w:rPr>
        <w:t>2. Характеристики Продукции: согласно настоящей Спецификации и Техническим требованиям (Приложение №2) к Договору.</w:t>
      </w:r>
    </w:p>
    <w:p>
      <w:pPr>
        <w:pStyle w:val="ListParagraph"/>
        <w:tabs>
          <w:tab w:val="clear" w:pos="720"/>
          <w:tab w:val="left" w:pos="284" w:leader="none"/>
        </w:tabs>
        <w:ind w:left="0" w:hanging="0"/>
        <w:jc w:val="both"/>
        <w:rPr>
          <w:sz w:val="22"/>
          <w:szCs w:val="22"/>
        </w:rPr>
      </w:pPr>
      <w:r>
        <w:rPr>
          <w:sz w:val="22"/>
          <w:szCs w:val="22"/>
        </w:rPr>
        <w:t xml:space="preserve">3. </w:t>
      </w:r>
      <w:r>
        <w:rPr>
          <w:bCs/>
          <w:sz w:val="22"/>
          <w:szCs w:val="22"/>
          <w:lang w:eastAsia="en-US"/>
        </w:rPr>
        <w:t xml:space="preserve">Приемка Продукции осуществляется на территории Грузополучателя в рабочие дни: пн-чт с 8-00 до 12-00 и с 13-00 до 16-00 (по местному времени), </w:t>
      </w:r>
      <w:r>
        <w:rPr>
          <w:rFonts w:eastAsia="Times New Roman" w:cs="Times New Roman"/>
          <w:bCs/>
          <w:color w:val="1C1C1C"/>
          <w:sz w:val="22"/>
          <w:szCs w:val="22"/>
          <w:lang w:eastAsia="ru-RU"/>
        </w:rPr>
        <w:t>в пятницу с 8-00 до 12-00 и с 13-00 до 15-00 (по местному времени)</w:t>
      </w:r>
      <w:r>
        <w:rPr>
          <w:bCs/>
          <w:sz w:val="22"/>
          <w:szCs w:val="22"/>
          <w:lang w:eastAsia="en-US"/>
        </w:rPr>
        <w:t>. Информация о транспорте, на котором осуществляется доставка Продукции, для оформления допуска на территорию Грузополучателя предоставляется Поставщиком Покупателю не позднее чем за 2 рабочих дня, предшествующих дню поставки.</w:t>
      </w:r>
    </w:p>
    <w:p>
      <w:pPr>
        <w:pStyle w:val="Normal"/>
        <w:widowControl w:val="false"/>
        <w:tabs>
          <w:tab w:val="clear" w:pos="720"/>
          <w:tab w:val="left" w:pos="284" w:leader="none"/>
        </w:tabs>
        <w:jc w:val="both"/>
        <w:rPr>
          <w:sz w:val="22"/>
          <w:szCs w:val="22"/>
        </w:rPr>
      </w:pPr>
      <w:r>
        <w:rPr>
          <w:sz w:val="22"/>
          <w:szCs w:val="22"/>
        </w:rPr>
        <w:t>4. При оформлении первичных документов указывать следующие реквизиты:</w:t>
      </w:r>
    </w:p>
    <w:p>
      <w:pPr>
        <w:pStyle w:val="BodyTextIndent"/>
        <w:ind w:hanging="0"/>
        <w:rPr>
          <w:sz w:val="22"/>
          <w:szCs w:val="22"/>
        </w:rPr>
      </w:pPr>
      <w:r>
        <w:rPr>
          <w:b/>
          <w:sz w:val="22"/>
          <w:szCs w:val="22"/>
        </w:rPr>
        <w:t>Покупатель:</w:t>
      </w:r>
    </w:p>
    <w:p>
      <w:pPr>
        <w:pStyle w:val="Normal"/>
        <w:jc w:val="both"/>
        <w:rPr>
          <w:sz w:val="22"/>
          <w:szCs w:val="22"/>
        </w:rPr>
      </w:pPr>
      <w:r>
        <w:rPr>
          <w:b/>
          <w:sz w:val="22"/>
          <w:szCs w:val="22"/>
        </w:rPr>
        <w:t>АО «Гидроремонт-ВКК»</w:t>
      </w:r>
    </w:p>
    <w:p>
      <w:pPr>
        <w:pStyle w:val="Normal"/>
        <w:jc w:val="both"/>
        <w:rPr>
          <w:sz w:val="22"/>
          <w:szCs w:val="22"/>
        </w:rPr>
      </w:pPr>
      <w:r>
        <w:rPr>
          <w:sz w:val="22"/>
          <w:szCs w:val="22"/>
        </w:rPr>
        <w:t xml:space="preserve">Место нахождения: </w:t>
      </w:r>
      <w:r>
        <w:rPr>
          <w:color w:val="000000"/>
          <w:sz w:val="22"/>
          <w:szCs w:val="22"/>
          <w:lang w:val="ru-RU"/>
        </w:rPr>
        <w:t>603140, Россия, Нижегородская область, г.о. город Нижний Новгород, г. Нижний Новгород, пер. Мотальный, д. 8, помещ. ВП31, офис С1А</w:t>
      </w:r>
      <w:r>
        <w:rPr>
          <w:sz w:val="22"/>
          <w:szCs w:val="22"/>
        </w:rPr>
        <w:t>.</w:t>
      </w:r>
    </w:p>
    <w:p>
      <w:pPr>
        <w:pStyle w:val="Normal"/>
        <w:tabs>
          <w:tab w:val="clear" w:pos="720"/>
          <w:tab w:val="left" w:pos="284" w:leader="none"/>
        </w:tabs>
        <w:jc w:val="both"/>
        <w:rPr>
          <w:sz w:val="22"/>
          <w:szCs w:val="22"/>
        </w:rPr>
      </w:pPr>
      <w:r>
        <w:rPr>
          <w:b w:val="false"/>
          <w:bCs w:val="false"/>
          <w:sz w:val="22"/>
          <w:szCs w:val="22"/>
          <w:shd w:fill="auto" w:val="clear"/>
        </w:rPr>
        <w:t>ИНН/КПП: 6345012488/643903001.</w:t>
      </w:r>
    </w:p>
    <w:p>
      <w:pPr>
        <w:pStyle w:val="Normal"/>
        <w:tabs>
          <w:tab w:val="clear" w:pos="720"/>
          <w:tab w:val="left" w:pos="284" w:leader="none"/>
          <w:tab w:val="left" w:pos="426" w:leader="none"/>
        </w:tabs>
        <w:jc w:val="both"/>
        <w:rPr>
          <w:sz w:val="22"/>
          <w:szCs w:val="22"/>
        </w:rPr>
      </w:pPr>
      <w:r>
        <w:rPr>
          <w:b/>
          <w:sz w:val="22"/>
          <w:szCs w:val="22"/>
        </w:rPr>
        <w:t>Плательщик / Грузополучатель:</w:t>
      </w:r>
    </w:p>
    <w:p>
      <w:pPr>
        <w:pStyle w:val="Normal"/>
        <w:numPr>
          <w:ilvl w:val="0"/>
          <w:numId w:val="0"/>
        </w:numPr>
        <w:ind w:left="0" w:hanging="0"/>
        <w:outlineLvl w:val="0"/>
        <w:rPr>
          <w:sz w:val="22"/>
          <w:szCs w:val="22"/>
        </w:rPr>
      </w:pPr>
      <w:r>
        <w:rPr>
          <w:b/>
          <w:sz w:val="22"/>
          <w:szCs w:val="22"/>
        </w:rPr>
        <w:t>Саратовский филиал АО «Гидроремонт-ВКК» в г. Балаково</w:t>
      </w:r>
    </w:p>
    <w:p>
      <w:pPr>
        <w:pStyle w:val="Normal"/>
        <w:tabs>
          <w:tab w:val="clear" w:pos="720"/>
          <w:tab w:val="left" w:pos="284" w:leader="none"/>
        </w:tabs>
        <w:jc w:val="both"/>
        <w:rPr>
          <w:sz w:val="22"/>
          <w:szCs w:val="22"/>
        </w:rPr>
      </w:pPr>
      <w:r>
        <w:rPr>
          <w:sz w:val="22"/>
          <w:szCs w:val="22"/>
        </w:rPr>
        <w:t>Место нахождения филиала: 413840, Саратовская обл., г. Балаково.</w:t>
      </w:r>
    </w:p>
    <w:p>
      <w:pPr>
        <w:pStyle w:val="Normal"/>
        <w:tabs>
          <w:tab w:val="clear" w:pos="720"/>
          <w:tab w:val="left" w:pos="284" w:leader="none"/>
          <w:tab w:val="left" w:pos="426" w:leader="none"/>
        </w:tabs>
        <w:jc w:val="both"/>
        <w:rPr>
          <w:sz w:val="22"/>
          <w:szCs w:val="22"/>
        </w:rPr>
      </w:pPr>
      <w:r>
        <w:rPr>
          <w:sz w:val="22"/>
          <w:szCs w:val="22"/>
        </w:rPr>
      </w:r>
    </w:p>
    <w:tbl>
      <w:tblPr>
        <w:tblpPr w:bottomFromText="0" w:horzAnchor="margin" w:leftFromText="180" w:rightFromText="180" w:tblpX="0" w:tblpY="225" w:topFromText="0" w:vertAnchor="text"/>
        <w:tblW w:w="9571" w:type="dxa"/>
        <w:jc w:val="left"/>
        <w:tblInd w:w="108" w:type="dxa"/>
        <w:tblLayout w:type="fixed"/>
        <w:tblCellMar>
          <w:top w:w="0" w:type="dxa"/>
          <w:left w:w="108" w:type="dxa"/>
          <w:bottom w:w="0" w:type="dxa"/>
          <w:right w:w="108" w:type="dxa"/>
        </w:tblCellMar>
        <w:tblLook w:val="01e0" w:noVBand="0" w:noHBand="0" w:lastColumn="1" w:firstColumn="1" w:lastRow="1" w:firstRow="1"/>
      </w:tblPr>
      <w:tblGrid>
        <w:gridCol w:w="4785"/>
        <w:gridCol w:w="4785"/>
      </w:tblGrid>
      <w:tr>
        <w:trPr/>
        <w:tc>
          <w:tcPr>
            <w:tcW w:w="4785" w:type="dxa"/>
            <w:tcBorders/>
            <w:shd w:color="auto" w:fill="FFFFFF" w:themeFill="background1" w:val="clear"/>
          </w:tcPr>
          <w:p>
            <w:pPr>
              <w:pStyle w:val="Style19"/>
              <w:widowControl w:val="false"/>
              <w:spacing w:lineRule="auto" w:line="240" w:before="0" w:after="0"/>
              <w:jc w:val="left"/>
              <w:rPr>
                <w:sz w:val="22"/>
                <w:szCs w:val="22"/>
              </w:rPr>
            </w:pPr>
            <w:r>
              <w:rPr>
                <w:rFonts w:ascii="Times New Roman" w:hAnsi="Times New Roman"/>
                <w:b/>
                <w:sz w:val="22"/>
                <w:szCs w:val="22"/>
                <w:u w:val="single"/>
                <w:lang w:val="ru-RU"/>
              </w:rPr>
              <w:t>Покупатель</w:t>
            </w:r>
            <w:r>
              <w:rPr>
                <w:rFonts w:ascii="Times New Roman" w:hAnsi="Times New Roman"/>
                <w:b/>
                <w:sz w:val="22"/>
                <w:szCs w:val="22"/>
                <w:u w:val="single"/>
              </w:rPr>
              <w:t>:</w:t>
            </w:r>
          </w:p>
        </w:tc>
        <w:tc>
          <w:tcPr>
            <w:tcW w:w="4785" w:type="dxa"/>
            <w:tcBorders/>
            <w:shd w:color="auto" w:fill="FFFFFF" w:themeFill="background1" w:val="clear"/>
          </w:tcPr>
          <w:p>
            <w:pPr>
              <w:pStyle w:val="Style19"/>
              <w:widowControl w:val="false"/>
              <w:spacing w:lineRule="auto" w:line="240" w:before="0" w:after="0"/>
              <w:jc w:val="left"/>
              <w:rPr>
                <w:sz w:val="22"/>
                <w:szCs w:val="22"/>
              </w:rPr>
            </w:pPr>
            <w:r>
              <w:rPr>
                <w:rFonts w:ascii="Times New Roman" w:hAnsi="Times New Roman"/>
                <w:b/>
                <w:sz w:val="22"/>
                <w:szCs w:val="22"/>
                <w:u w:val="single"/>
                <w:lang w:val="ru-RU"/>
              </w:rPr>
              <w:t>Поставщик</w:t>
            </w:r>
            <w:r>
              <w:rPr>
                <w:rFonts w:ascii="Times New Roman" w:hAnsi="Times New Roman"/>
                <w:b/>
                <w:sz w:val="22"/>
                <w:szCs w:val="22"/>
                <w:u w:val="single"/>
              </w:rPr>
              <w:t>:</w:t>
            </w:r>
          </w:p>
        </w:tc>
      </w:tr>
      <w:tr>
        <w:trPr/>
        <w:tc>
          <w:tcPr>
            <w:tcW w:w="4785" w:type="dxa"/>
            <w:tcBorders/>
            <w:shd w:color="auto" w:fill="FFFFFF" w:themeFill="background1" w:val="clear"/>
          </w:tcPr>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 / _______________ /</w:t>
            </w:r>
          </w:p>
          <w:p>
            <w:pPr>
              <w:pStyle w:val="Normal"/>
              <w:widowControl w:val="false"/>
              <w:rPr>
                <w:sz w:val="24"/>
                <w:szCs w:val="24"/>
              </w:rPr>
            </w:pPr>
            <w:r>
              <w:rPr>
                <w:bCs/>
                <w:sz w:val="24"/>
                <w:szCs w:val="24"/>
              </w:rPr>
              <w:t>м.п.</w:t>
            </w:r>
          </w:p>
        </w:tc>
        <w:tc>
          <w:tcPr>
            <w:tcW w:w="4785" w:type="dxa"/>
            <w:tcBorders/>
            <w:shd w:color="auto" w:fill="FFFFFF" w:themeFill="background1" w:val="clear"/>
          </w:tcPr>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t>_______________ / _______________ /</w:t>
            </w:r>
          </w:p>
          <w:p>
            <w:pPr>
              <w:pStyle w:val="Normal"/>
              <w:widowControl w:val="false"/>
              <w:rPr>
                <w:sz w:val="22"/>
                <w:szCs w:val="22"/>
              </w:rPr>
            </w:pPr>
            <w:r>
              <w:rPr>
                <w:sz w:val="22"/>
                <w:szCs w:val="22"/>
              </w:rPr>
              <w:t>м.п.</w:t>
            </w:r>
          </w:p>
        </w:tc>
      </w:tr>
    </w:tbl>
    <w:p>
      <w:pPr>
        <w:sectPr>
          <w:headerReference w:type="default" r:id="rId13"/>
          <w:headerReference w:type="first" r:id="rId14"/>
          <w:footerReference w:type="default" r:id="rId15"/>
          <w:footerReference w:type="first" r:id="rId16"/>
          <w:footnotePr>
            <w:numFmt w:val="decimal"/>
          </w:footnotePr>
          <w:type w:val="nextPage"/>
          <w:pgSz w:orient="landscape" w:w="16838" w:h="11906"/>
          <w:pgMar w:left="1134" w:right="707" w:gutter="0" w:header="493" w:top="907" w:footer="493" w:bottom="907"/>
          <w:pgNumType w:fmt="decimal"/>
          <w:formProt w:val="false"/>
          <w:textDirection w:val="lrTb"/>
          <w:docGrid w:type="default" w:linePitch="100" w:charSpace="8192"/>
        </w:sectPr>
      </w:pPr>
      <w:r>
        <w:br w:type="page"/>
      </w:r>
    </w:p>
    <w:p>
      <w:pPr>
        <w:pStyle w:val="BodyText"/>
        <w:numPr>
          <w:ilvl w:val="0"/>
          <w:numId w:val="0"/>
        </w:numPr>
        <w:spacing w:before="0" w:after="6"/>
        <w:ind w:left="0" w:firstLine="567"/>
        <w:jc w:val="right"/>
        <w:outlineLvl w:val="0"/>
        <w:rPr>
          <w:highlight w:val="none"/>
          <w:shd w:fill="auto" w:val="clear"/>
        </w:rPr>
      </w:pPr>
      <w:r>
        <w:rPr>
          <w:b/>
          <w:bCs/>
          <w:sz w:val="24"/>
          <w:szCs w:val="24"/>
          <w:shd w:fill="auto" w:val="clear"/>
        </w:rPr>
        <w:t>Приложение № 2</w:t>
      </w:r>
    </w:p>
    <w:p>
      <w:pPr>
        <w:pStyle w:val="BodyText"/>
        <w:spacing w:before="0" w:after="6"/>
        <w:ind w:firstLine="567"/>
        <w:jc w:val="right"/>
        <w:rPr>
          <w:highlight w:val="none"/>
          <w:shd w:fill="auto" w:val="clear"/>
        </w:rPr>
      </w:pPr>
      <w:r>
        <w:rPr>
          <w:bCs/>
          <w:sz w:val="24"/>
          <w:szCs w:val="24"/>
          <w:shd w:fill="auto" w:val="clear"/>
        </w:rPr>
        <w:t>к договору поставки</w:t>
      </w:r>
    </w:p>
    <w:p>
      <w:pPr>
        <w:pStyle w:val="BodyText"/>
        <w:spacing w:before="0" w:after="6"/>
        <w:ind w:firstLine="567"/>
        <w:jc w:val="right"/>
        <w:rPr>
          <w:highlight w:val="none"/>
          <w:shd w:fill="auto" w:val="clear"/>
        </w:rPr>
      </w:pPr>
      <w:r>
        <w:rPr>
          <w:bCs/>
          <w:sz w:val="24"/>
          <w:szCs w:val="24"/>
          <w:shd w:fill="auto" w:val="clear"/>
        </w:rPr>
        <w:t xml:space="preserve">№ </w:t>
      </w:r>
      <w:r>
        <w:rPr>
          <w:bCs/>
          <w:sz w:val="24"/>
          <w:szCs w:val="24"/>
          <w:shd w:fill="auto" w:val="clear"/>
        </w:rPr>
        <w:t>_____от «___» _________ ______ г.</w:t>
      </w:r>
    </w:p>
    <w:p>
      <w:pPr>
        <w:pStyle w:val="BodyText"/>
        <w:spacing w:before="0" w:after="6"/>
        <w:ind w:firstLine="567"/>
        <w:jc w:val="right"/>
        <w:rPr>
          <w:bCs/>
          <w:sz w:val="24"/>
          <w:szCs w:val="24"/>
          <w:highlight w:val="none"/>
          <w:shd w:fill="auto" w:val="clear"/>
        </w:rPr>
      </w:pPr>
      <w:r>
        <w:rPr>
          <w:bCs/>
          <w:sz w:val="24"/>
          <w:szCs w:val="24"/>
          <w:shd w:fill="auto" w:val="clear"/>
        </w:rPr>
      </w:r>
    </w:p>
    <w:p>
      <w:pPr>
        <w:pStyle w:val="BodyText"/>
        <w:spacing w:before="0" w:after="6"/>
        <w:ind w:firstLine="567"/>
        <w:jc w:val="right"/>
        <w:rPr>
          <w:bCs/>
          <w:sz w:val="24"/>
          <w:szCs w:val="24"/>
          <w:highlight w:val="none"/>
          <w:shd w:fill="auto" w:val="clear"/>
        </w:rPr>
      </w:pPr>
      <w:r>
        <w:rPr>
          <w:bCs/>
          <w:sz w:val="24"/>
          <w:szCs w:val="24"/>
          <w:shd w:fill="auto" w:val="clear"/>
        </w:rPr>
      </w:r>
    </w:p>
    <w:p>
      <w:pPr>
        <w:pStyle w:val="BodyText"/>
        <w:spacing w:lineRule="auto" w:line="240" w:before="0" w:after="0"/>
        <w:ind w:left="0" w:right="0" w:hanging="0"/>
        <w:jc w:val="right"/>
        <w:rPr>
          <w:bCs/>
          <w:sz w:val="24"/>
          <w:szCs w:val="24"/>
          <w:highlight w:val="none"/>
          <w:shd w:fill="auto" w:val="clear"/>
        </w:rPr>
      </w:pPr>
      <w:r>
        <w:rPr>
          <w:bCs/>
          <w:sz w:val="24"/>
          <w:szCs w:val="24"/>
          <w:shd w:fill="auto" w:val="clear"/>
        </w:rPr>
      </w:r>
    </w:p>
    <w:p>
      <w:pPr>
        <w:pStyle w:val="BodyText"/>
        <w:spacing w:lineRule="auto" w:line="240" w:before="0" w:after="0"/>
        <w:ind w:left="0" w:right="0" w:hanging="0"/>
        <w:jc w:val="center"/>
        <w:rPr/>
      </w:pPr>
      <w:r>
        <w:rPr>
          <w:b/>
          <w:bCs/>
          <w:sz w:val="24"/>
          <w:szCs w:val="24"/>
          <w:shd w:fill="auto" w:val="clear"/>
        </w:rPr>
        <w:t>ТЕХНИЧЕСКИЕ ТРЕБОВАНИЯ</w:t>
      </w:r>
    </w:p>
    <w:p>
      <w:pPr>
        <w:pStyle w:val="Normal"/>
        <w:widowControl w:val="false"/>
        <w:spacing w:lineRule="auto" w:line="240" w:before="0" w:after="0"/>
        <w:ind w:left="0" w:right="0" w:hanging="0"/>
        <w:jc w:val="center"/>
        <w:rPr>
          <w:rFonts w:ascii="Times New Roman" w:hAnsi="Times New Roman" w:eastAsia="Times New Roman" w:cs="Times New Roman"/>
          <w:b/>
          <w:sz w:val="24"/>
          <w:szCs w:val="24"/>
          <w:lang w:eastAsia="ru-RU"/>
        </w:rPr>
      </w:pPr>
      <w:r>
        <w:rPr>
          <w:rFonts w:eastAsia="Times New Roman" w:cs="Times New Roman"/>
          <w:b/>
          <w:sz w:val="24"/>
          <w:szCs w:val="24"/>
          <w:lang w:eastAsia="ru-RU"/>
        </w:rPr>
      </w:r>
    </w:p>
    <w:p>
      <w:pPr>
        <w:pStyle w:val="BodyText"/>
        <w:numPr>
          <w:ilvl w:val="0"/>
          <w:numId w:val="0"/>
        </w:numPr>
        <w:spacing w:lineRule="auto" w:line="240" w:before="0" w:after="0"/>
        <w:ind w:left="0" w:right="0" w:hanging="0"/>
        <w:outlineLvl w:val="0"/>
        <w:rPr>
          <w:b/>
          <w:bCs/>
          <w:sz w:val="24"/>
          <w:szCs w:val="24"/>
          <w:highlight w:val="yellow"/>
        </w:rPr>
      </w:pPr>
      <w:r>
        <w:rPr>
          <w:b/>
          <w:bCs/>
          <w:sz w:val="24"/>
          <w:szCs w:val="24"/>
          <w:highlight w:val="yellow"/>
        </w:rPr>
      </w:r>
    </w:p>
    <w:p>
      <w:pPr>
        <w:pStyle w:val="BodyText"/>
        <w:numPr>
          <w:ilvl w:val="0"/>
          <w:numId w:val="0"/>
        </w:numPr>
        <w:spacing w:lineRule="auto" w:line="240" w:before="0" w:after="0"/>
        <w:ind w:left="0" w:right="0" w:hanging="0"/>
        <w:outlineLvl w:val="0"/>
        <w:rPr>
          <w:b/>
          <w:bCs/>
          <w:sz w:val="24"/>
          <w:szCs w:val="24"/>
          <w:highlight w:val="yellow"/>
        </w:rPr>
      </w:pPr>
      <w:r>
        <w:rPr>
          <w:b/>
          <w:bCs/>
          <w:sz w:val="24"/>
          <w:szCs w:val="24"/>
          <w:highlight w:val="yellow"/>
        </w:rPr>
      </w:r>
    </w:p>
    <w:p>
      <w:pPr>
        <w:pStyle w:val="BodyText"/>
        <w:numPr>
          <w:ilvl w:val="0"/>
          <w:numId w:val="0"/>
        </w:numPr>
        <w:spacing w:lineRule="auto" w:line="240" w:before="0" w:after="0"/>
        <w:ind w:left="0" w:right="0" w:hanging="0"/>
        <w:outlineLvl w:val="0"/>
        <w:rPr>
          <w:b/>
          <w:bCs/>
          <w:sz w:val="24"/>
          <w:szCs w:val="24"/>
          <w:highlight w:val="yellow"/>
        </w:rPr>
      </w:pPr>
      <w:r>
        <w:rPr>
          <w:b/>
          <w:bCs/>
          <w:sz w:val="24"/>
          <w:szCs w:val="24"/>
          <w:highlight w:val="yellow"/>
        </w:rPr>
      </w:r>
    </w:p>
    <w:p>
      <w:pPr>
        <w:pStyle w:val="BodyText"/>
        <w:numPr>
          <w:ilvl w:val="0"/>
          <w:numId w:val="0"/>
        </w:numPr>
        <w:spacing w:lineRule="auto" w:line="240" w:before="0" w:after="0"/>
        <w:ind w:left="0" w:right="0" w:hanging="0"/>
        <w:outlineLvl w:val="0"/>
        <w:rPr>
          <w:b/>
          <w:bCs/>
          <w:sz w:val="24"/>
          <w:szCs w:val="24"/>
          <w:highlight w:val="yellow"/>
        </w:rPr>
      </w:pPr>
      <w:r>
        <w:rPr>
          <w:b/>
          <w:bCs/>
          <w:sz w:val="24"/>
          <w:szCs w:val="24"/>
          <w:highlight w:val="yellow"/>
        </w:rPr>
      </w:r>
    </w:p>
    <w:p>
      <w:pPr>
        <w:pStyle w:val="BodyText"/>
        <w:numPr>
          <w:ilvl w:val="0"/>
          <w:numId w:val="0"/>
        </w:numPr>
        <w:spacing w:lineRule="auto" w:line="240" w:before="0" w:after="0"/>
        <w:ind w:left="0" w:right="0" w:hanging="0"/>
        <w:outlineLvl w:val="0"/>
        <w:rPr>
          <w:b/>
          <w:bCs/>
          <w:sz w:val="24"/>
          <w:szCs w:val="24"/>
          <w:highlight w:val="yellow"/>
        </w:rPr>
      </w:pPr>
      <w:r>
        <w:rPr>
          <w:b/>
          <w:bCs/>
          <w:sz w:val="24"/>
          <w:szCs w:val="24"/>
          <w:highlight w:val="yellow"/>
        </w:rPr>
      </w:r>
    </w:p>
    <w:p>
      <w:pPr>
        <w:pStyle w:val="BodyText"/>
        <w:numPr>
          <w:ilvl w:val="0"/>
          <w:numId w:val="0"/>
        </w:numPr>
        <w:spacing w:lineRule="auto" w:line="240" w:before="0" w:after="0"/>
        <w:ind w:left="0" w:right="0" w:hanging="0"/>
        <w:outlineLvl w:val="0"/>
        <w:rPr>
          <w:b/>
          <w:bCs/>
          <w:sz w:val="24"/>
          <w:szCs w:val="24"/>
          <w:highlight w:val="yellow"/>
        </w:rPr>
      </w:pPr>
      <w:r>
        <w:rPr>
          <w:b/>
          <w:bCs/>
          <w:sz w:val="24"/>
          <w:szCs w:val="24"/>
          <w:highlight w:val="yellow"/>
        </w:rPr>
      </w:r>
    </w:p>
    <w:p>
      <w:pPr>
        <w:pStyle w:val="BodyText"/>
        <w:numPr>
          <w:ilvl w:val="0"/>
          <w:numId w:val="0"/>
        </w:numPr>
        <w:spacing w:lineRule="auto" w:line="240" w:before="0" w:after="0"/>
        <w:ind w:left="0" w:right="0" w:hanging="0"/>
        <w:outlineLvl w:val="0"/>
        <w:rPr>
          <w:b/>
          <w:bCs/>
          <w:sz w:val="24"/>
          <w:szCs w:val="24"/>
          <w:highlight w:val="yellow"/>
        </w:rPr>
      </w:pPr>
      <w:r>
        <w:rPr>
          <w:b/>
          <w:bCs/>
          <w:sz w:val="24"/>
          <w:szCs w:val="24"/>
          <w:highlight w:val="yellow"/>
        </w:rPr>
      </w:r>
    </w:p>
    <w:p>
      <w:pPr>
        <w:pStyle w:val="BodyText"/>
        <w:numPr>
          <w:ilvl w:val="0"/>
          <w:numId w:val="0"/>
        </w:numPr>
        <w:spacing w:lineRule="auto" w:line="240" w:before="0" w:after="0"/>
        <w:ind w:left="0" w:right="0" w:hanging="0"/>
        <w:outlineLvl w:val="0"/>
        <w:rPr>
          <w:b/>
          <w:bCs/>
          <w:sz w:val="24"/>
          <w:szCs w:val="24"/>
          <w:highlight w:val="yellow"/>
        </w:rPr>
      </w:pPr>
      <w:r>
        <w:rPr>
          <w:b/>
          <w:bCs/>
          <w:sz w:val="24"/>
          <w:szCs w:val="24"/>
          <w:highlight w:val="yellow"/>
        </w:rPr>
      </w:r>
    </w:p>
    <w:p>
      <w:pPr>
        <w:pStyle w:val="BodyText"/>
        <w:numPr>
          <w:ilvl w:val="0"/>
          <w:numId w:val="0"/>
        </w:numPr>
        <w:spacing w:before="0" w:after="120"/>
        <w:ind w:left="0" w:hanging="0"/>
        <w:outlineLvl w:val="0"/>
        <w:rPr>
          <w:b/>
          <w:bCs/>
          <w:sz w:val="24"/>
          <w:szCs w:val="24"/>
          <w:highlight w:val="yellow"/>
        </w:rPr>
      </w:pPr>
      <w:r>
        <w:rPr>
          <w:b/>
          <w:bCs/>
          <w:sz w:val="24"/>
          <w:szCs w:val="24"/>
          <w:highlight w:val="yellow"/>
        </w:rPr>
      </w:r>
    </w:p>
    <w:p>
      <w:pPr>
        <w:pStyle w:val="BodyText"/>
        <w:numPr>
          <w:ilvl w:val="0"/>
          <w:numId w:val="0"/>
        </w:numPr>
        <w:spacing w:before="0" w:after="120"/>
        <w:ind w:left="0" w:hanging="0"/>
        <w:outlineLvl w:val="0"/>
        <w:rPr>
          <w:b/>
          <w:bCs/>
          <w:sz w:val="24"/>
          <w:szCs w:val="24"/>
          <w:highlight w:val="yellow"/>
        </w:rPr>
      </w:pPr>
      <w:r>
        <w:rPr>
          <w:b/>
          <w:bCs/>
          <w:sz w:val="24"/>
          <w:szCs w:val="24"/>
          <w:highlight w:val="yellow"/>
        </w:rPr>
      </w:r>
    </w:p>
    <w:p>
      <w:pPr>
        <w:pStyle w:val="BodyText"/>
        <w:numPr>
          <w:ilvl w:val="0"/>
          <w:numId w:val="0"/>
        </w:numPr>
        <w:spacing w:before="0" w:after="120"/>
        <w:ind w:left="0" w:hanging="0"/>
        <w:outlineLvl w:val="0"/>
        <w:rPr>
          <w:b/>
          <w:bCs/>
          <w:sz w:val="24"/>
          <w:szCs w:val="24"/>
          <w:highlight w:val="yellow"/>
        </w:rPr>
      </w:pPr>
      <w:r>
        <w:rPr>
          <w:b/>
          <w:bCs/>
          <w:sz w:val="24"/>
          <w:szCs w:val="24"/>
          <w:highlight w:val="yellow"/>
        </w:rPr>
      </w:r>
    </w:p>
    <w:p>
      <w:pPr>
        <w:pStyle w:val="BodyText"/>
        <w:numPr>
          <w:ilvl w:val="0"/>
          <w:numId w:val="0"/>
        </w:numPr>
        <w:spacing w:before="0" w:after="120"/>
        <w:ind w:left="0" w:hanging="0"/>
        <w:outlineLvl w:val="0"/>
        <w:rPr>
          <w:b/>
          <w:bCs/>
          <w:sz w:val="24"/>
          <w:szCs w:val="24"/>
          <w:highlight w:val="yellow"/>
        </w:rPr>
      </w:pPr>
      <w:r>
        <w:rPr>
          <w:b/>
          <w:bCs/>
          <w:sz w:val="24"/>
          <w:szCs w:val="24"/>
          <w:highlight w:val="yellow"/>
        </w:rPr>
      </w:r>
    </w:p>
    <w:p>
      <w:pPr>
        <w:pStyle w:val="BodyText"/>
        <w:numPr>
          <w:ilvl w:val="0"/>
          <w:numId w:val="0"/>
        </w:numPr>
        <w:spacing w:before="0" w:after="120"/>
        <w:ind w:left="0" w:hanging="0"/>
        <w:outlineLvl w:val="0"/>
        <w:rPr>
          <w:b/>
          <w:bCs/>
          <w:sz w:val="24"/>
          <w:szCs w:val="24"/>
          <w:highlight w:val="yellow"/>
        </w:rPr>
      </w:pPr>
      <w:r>
        <w:rPr>
          <w:b/>
          <w:bCs/>
          <w:sz w:val="24"/>
          <w:szCs w:val="24"/>
          <w:highlight w:val="yellow"/>
        </w:rPr>
      </w:r>
    </w:p>
    <w:p>
      <w:pPr>
        <w:pStyle w:val="BodyText"/>
        <w:numPr>
          <w:ilvl w:val="0"/>
          <w:numId w:val="0"/>
        </w:numPr>
        <w:spacing w:before="0" w:after="120"/>
        <w:ind w:left="0" w:hanging="0"/>
        <w:outlineLvl w:val="0"/>
        <w:rPr>
          <w:b/>
          <w:bCs/>
          <w:sz w:val="24"/>
          <w:szCs w:val="24"/>
          <w:highlight w:val="yellow"/>
        </w:rPr>
      </w:pPr>
      <w:r>
        <w:rPr>
          <w:b/>
          <w:bCs/>
          <w:sz w:val="24"/>
          <w:szCs w:val="24"/>
          <w:highlight w:val="yellow"/>
        </w:rPr>
      </w:r>
    </w:p>
    <w:p>
      <w:pPr>
        <w:pStyle w:val="BodyText"/>
        <w:numPr>
          <w:ilvl w:val="0"/>
          <w:numId w:val="0"/>
        </w:numPr>
        <w:spacing w:before="0" w:after="120"/>
        <w:ind w:left="0" w:hanging="0"/>
        <w:outlineLvl w:val="0"/>
        <w:rPr>
          <w:b/>
          <w:bCs/>
          <w:sz w:val="24"/>
          <w:szCs w:val="24"/>
          <w:highlight w:val="yellow"/>
        </w:rPr>
      </w:pPr>
      <w:r>
        <w:rPr>
          <w:b/>
          <w:bCs/>
          <w:sz w:val="24"/>
          <w:szCs w:val="24"/>
          <w:highlight w:val="yellow"/>
        </w:rPr>
      </w:r>
    </w:p>
    <w:p>
      <w:pPr>
        <w:pStyle w:val="BodyText"/>
        <w:numPr>
          <w:ilvl w:val="0"/>
          <w:numId w:val="0"/>
        </w:numPr>
        <w:spacing w:before="0" w:after="120"/>
        <w:ind w:left="0" w:hanging="0"/>
        <w:outlineLvl w:val="0"/>
        <w:rPr>
          <w:b/>
          <w:bCs/>
          <w:sz w:val="24"/>
          <w:szCs w:val="24"/>
          <w:highlight w:val="yellow"/>
        </w:rPr>
      </w:pPr>
      <w:r>
        <w:rPr>
          <w:b/>
          <w:bCs/>
          <w:sz w:val="24"/>
          <w:szCs w:val="24"/>
          <w:highlight w:val="yellow"/>
        </w:rPr>
      </w:r>
    </w:p>
    <w:p>
      <w:pPr>
        <w:pStyle w:val="BodyText"/>
        <w:numPr>
          <w:ilvl w:val="0"/>
          <w:numId w:val="0"/>
        </w:numPr>
        <w:spacing w:before="0" w:after="120"/>
        <w:ind w:left="0" w:hanging="0"/>
        <w:outlineLvl w:val="0"/>
        <w:rPr>
          <w:b/>
          <w:bCs/>
          <w:sz w:val="24"/>
          <w:szCs w:val="24"/>
          <w:highlight w:val="yellow"/>
        </w:rPr>
      </w:pPr>
      <w:r>
        <w:rPr>
          <w:b/>
          <w:bCs/>
          <w:sz w:val="24"/>
          <w:szCs w:val="24"/>
          <w:highlight w:val="yellow"/>
        </w:rPr>
      </w:r>
    </w:p>
    <w:p>
      <w:pPr>
        <w:pStyle w:val="BodyText"/>
        <w:numPr>
          <w:ilvl w:val="0"/>
          <w:numId w:val="0"/>
        </w:numPr>
        <w:spacing w:before="0" w:after="120"/>
        <w:ind w:left="0" w:hanging="0"/>
        <w:outlineLvl w:val="0"/>
        <w:rPr>
          <w:b/>
          <w:bCs/>
          <w:sz w:val="24"/>
          <w:szCs w:val="24"/>
          <w:highlight w:val="yellow"/>
        </w:rPr>
      </w:pPr>
      <w:r>
        <w:rPr>
          <w:b/>
          <w:bCs/>
          <w:sz w:val="24"/>
          <w:szCs w:val="24"/>
          <w:highlight w:val="yellow"/>
        </w:rPr>
      </w:r>
    </w:p>
    <w:p>
      <w:pPr>
        <w:pStyle w:val="BodyText"/>
        <w:numPr>
          <w:ilvl w:val="0"/>
          <w:numId w:val="0"/>
        </w:numPr>
        <w:spacing w:before="0" w:after="120"/>
        <w:ind w:left="0" w:hanging="0"/>
        <w:outlineLvl w:val="0"/>
        <w:rPr>
          <w:b/>
          <w:bCs/>
          <w:sz w:val="24"/>
          <w:szCs w:val="24"/>
          <w:highlight w:val="yellow"/>
        </w:rPr>
      </w:pPr>
      <w:r>
        <w:rPr>
          <w:b/>
          <w:bCs/>
          <w:sz w:val="24"/>
          <w:szCs w:val="24"/>
          <w:highlight w:val="yellow"/>
        </w:rPr>
      </w:r>
    </w:p>
    <w:p>
      <w:pPr>
        <w:pStyle w:val="BodyText"/>
        <w:numPr>
          <w:ilvl w:val="0"/>
          <w:numId w:val="0"/>
        </w:numPr>
        <w:spacing w:before="0" w:after="120"/>
        <w:ind w:left="0" w:hanging="0"/>
        <w:outlineLvl w:val="0"/>
        <w:rPr>
          <w:b/>
          <w:bCs/>
          <w:sz w:val="24"/>
          <w:szCs w:val="24"/>
          <w:highlight w:val="yellow"/>
        </w:rPr>
      </w:pPr>
      <w:r>
        <w:rPr>
          <w:b/>
          <w:bCs/>
          <w:sz w:val="24"/>
          <w:szCs w:val="24"/>
          <w:highlight w:val="yellow"/>
        </w:rPr>
      </w:r>
    </w:p>
    <w:p>
      <w:pPr>
        <w:pStyle w:val="BodyText"/>
        <w:numPr>
          <w:ilvl w:val="0"/>
          <w:numId w:val="0"/>
        </w:numPr>
        <w:spacing w:before="0" w:after="120"/>
        <w:ind w:left="0" w:hanging="0"/>
        <w:outlineLvl w:val="0"/>
        <w:rPr>
          <w:b/>
          <w:bCs/>
          <w:sz w:val="24"/>
          <w:szCs w:val="24"/>
          <w:highlight w:val="yellow"/>
        </w:rPr>
      </w:pPr>
      <w:r>
        <w:rPr>
          <w:b/>
          <w:bCs/>
          <w:sz w:val="24"/>
          <w:szCs w:val="24"/>
          <w:highlight w:val="yellow"/>
        </w:rPr>
      </w:r>
    </w:p>
    <w:tbl>
      <w:tblPr>
        <w:tblpPr w:bottomFromText="0" w:horzAnchor="margin" w:leftFromText="180" w:rightFromText="180" w:tblpX="0" w:tblpY="225" w:topFromText="0" w:vertAnchor="text"/>
        <w:tblW w:w="9571" w:type="dxa"/>
        <w:jc w:val="left"/>
        <w:tblInd w:w="108" w:type="dxa"/>
        <w:tblLayout w:type="fixed"/>
        <w:tblCellMar>
          <w:top w:w="0" w:type="dxa"/>
          <w:left w:w="108" w:type="dxa"/>
          <w:bottom w:w="0" w:type="dxa"/>
          <w:right w:w="108" w:type="dxa"/>
        </w:tblCellMar>
        <w:tblLook w:val="01e0" w:noVBand="0" w:noHBand="0" w:lastColumn="1" w:firstColumn="1" w:lastRow="1" w:firstRow="1"/>
      </w:tblPr>
      <w:tblGrid>
        <w:gridCol w:w="4785"/>
        <w:gridCol w:w="4785"/>
      </w:tblGrid>
      <w:tr>
        <w:trPr/>
        <w:tc>
          <w:tcPr>
            <w:tcW w:w="4785" w:type="dxa"/>
            <w:tcBorders/>
            <w:shd w:color="auto" w:fill="FFFFFF" w:themeFill="background1" w:val="clear"/>
          </w:tcPr>
          <w:p>
            <w:pPr>
              <w:pStyle w:val="Style19"/>
              <w:widowControl w:val="false"/>
              <w:spacing w:lineRule="auto" w:line="240" w:before="0" w:after="0"/>
              <w:jc w:val="left"/>
              <w:rPr>
                <w:sz w:val="12"/>
                <w:szCs w:val="12"/>
              </w:rPr>
            </w:pPr>
            <w:r>
              <w:rPr>
                <w:rFonts w:ascii="Times New Roman" w:hAnsi="Times New Roman"/>
                <w:b/>
                <w:sz w:val="24"/>
                <w:szCs w:val="24"/>
                <w:u w:val="single"/>
                <w:lang w:val="ru-RU"/>
              </w:rPr>
              <w:t>Покупатель</w:t>
            </w:r>
            <w:r>
              <w:rPr>
                <w:rFonts w:ascii="Times New Roman" w:hAnsi="Times New Roman"/>
                <w:b/>
                <w:sz w:val="24"/>
                <w:szCs w:val="24"/>
                <w:u w:val="single"/>
              </w:rPr>
              <w:t>:</w:t>
            </w:r>
          </w:p>
        </w:tc>
        <w:tc>
          <w:tcPr>
            <w:tcW w:w="4785" w:type="dxa"/>
            <w:tcBorders/>
            <w:shd w:color="auto" w:fill="FFFFFF" w:themeFill="background1" w:val="clear"/>
          </w:tcPr>
          <w:p>
            <w:pPr>
              <w:pStyle w:val="Style19"/>
              <w:widowControl w:val="false"/>
              <w:spacing w:lineRule="auto" w:line="240" w:before="0" w:after="0"/>
              <w:jc w:val="left"/>
              <w:rPr>
                <w:sz w:val="12"/>
                <w:szCs w:val="12"/>
              </w:rPr>
            </w:pPr>
            <w:r>
              <w:rPr>
                <w:rFonts w:ascii="Times New Roman" w:hAnsi="Times New Roman"/>
                <w:b/>
                <w:sz w:val="24"/>
                <w:szCs w:val="24"/>
                <w:u w:val="single"/>
                <w:lang w:val="ru-RU"/>
              </w:rPr>
              <w:t>Поставщик</w:t>
            </w:r>
            <w:r>
              <w:rPr>
                <w:rFonts w:ascii="Times New Roman" w:hAnsi="Times New Roman"/>
                <w:b/>
                <w:sz w:val="24"/>
                <w:szCs w:val="24"/>
                <w:u w:val="single"/>
              </w:rPr>
              <w:t>:</w:t>
            </w:r>
          </w:p>
        </w:tc>
      </w:tr>
      <w:tr>
        <w:trPr/>
        <w:tc>
          <w:tcPr>
            <w:tcW w:w="4785" w:type="dxa"/>
            <w:tcBorders/>
            <w:shd w:color="auto" w:fill="FFFFFF" w:themeFill="background1" w:val="clear"/>
          </w:tcPr>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 / _______________ /</w:t>
            </w:r>
          </w:p>
          <w:p>
            <w:pPr>
              <w:pStyle w:val="Normal"/>
              <w:widowControl w:val="false"/>
              <w:rPr>
                <w:sz w:val="24"/>
                <w:szCs w:val="24"/>
              </w:rPr>
            </w:pPr>
            <w:r>
              <w:rPr>
                <w:bCs/>
                <w:sz w:val="24"/>
                <w:szCs w:val="24"/>
              </w:rPr>
              <w:t>м.п.</w:t>
            </w:r>
          </w:p>
        </w:tc>
        <w:tc>
          <w:tcPr>
            <w:tcW w:w="4785" w:type="dxa"/>
            <w:tcBorders/>
            <w:shd w:color="auto" w:fill="FFFFFF" w:themeFill="background1" w:val="clear"/>
          </w:tcPr>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 / _______________ /</w:t>
            </w:r>
          </w:p>
          <w:p>
            <w:pPr>
              <w:pStyle w:val="Normal"/>
              <w:widowControl w:val="false"/>
              <w:rPr>
                <w:sz w:val="24"/>
                <w:szCs w:val="24"/>
              </w:rPr>
            </w:pPr>
            <w:r>
              <w:rPr>
                <w:sz w:val="24"/>
                <w:szCs w:val="24"/>
              </w:rPr>
              <w:t>м.п.</w:t>
            </w:r>
          </w:p>
        </w:tc>
      </w:tr>
    </w:tbl>
    <w:p>
      <w:pPr>
        <w:pStyle w:val="BodyText"/>
        <w:numPr>
          <w:ilvl w:val="0"/>
          <w:numId w:val="0"/>
        </w:numPr>
        <w:spacing w:before="0" w:after="120"/>
        <w:ind w:left="0" w:hanging="0"/>
        <w:outlineLvl w:val="0"/>
        <w:rPr>
          <w:b/>
          <w:bCs/>
          <w:sz w:val="24"/>
          <w:szCs w:val="24"/>
        </w:rPr>
      </w:pPr>
      <w:r>
        <w:rPr/>
      </w:r>
    </w:p>
    <w:sectPr>
      <w:headerReference w:type="default" r:id="rId17"/>
      <w:headerReference w:type="first" r:id="rId18"/>
      <w:footerReference w:type="default" r:id="rId19"/>
      <w:footerReference w:type="first" r:id="rId20"/>
      <w:footnotePr>
        <w:numFmt w:val="decimal"/>
      </w:footnotePr>
      <w:type w:val="nextPage"/>
      <w:pgSz w:w="11906" w:h="16838"/>
      <w:pgMar w:left="1134" w:right="850" w:gutter="0" w:header="720" w:top="1134" w:footer="720" w:bottom="1134"/>
      <w:pgNumType w:fmt="decimal"/>
      <w:formProt w:val="false"/>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Tahoma">
    <w:charset w:val="01"/>
    <w:family w:val="roman"/>
    <w:pitch w:val="variable"/>
  </w:font>
  <w:font w:name="Symbol">
    <w:charset w:val="01"/>
    <w:family w:val="roman"/>
    <w:pitch w:val="variable"/>
  </w:font>
  <w:font w:name="Courier New">
    <w:charset w:val="01"/>
    <w:family w:val="roman"/>
    <w:pitch w:val="variable"/>
  </w:font>
  <w:font w:name="Wingdings">
    <w:charset w:val="01"/>
    <w:family w:val="roman"/>
    <w:pitch w:val="variable"/>
  </w:font>
  <w:font w:name="Liberation Sans">
    <w:altName w:val="Arial"/>
    <w:charset w:val="01"/>
    <w:family w:val="roman"/>
    <w:pitch w:val="variable"/>
  </w:font>
  <w:font w:name="Verdana">
    <w:charset w:val="01"/>
    <w:family w:val="roman"/>
    <w:pitch w:val="variable"/>
  </w:font>
  <w:font w:name="Arial">
    <w:charset w:val="01"/>
    <w:family w:val="roman"/>
    <w:pitch w:val="variable"/>
  </w:font>
  <w:font w:name="Liberation Mono">
    <w:altName w:val="Courier New"/>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 w:name="Tahoma">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2">
              <wp:simplePos x="0" y="0"/>
              <wp:positionH relativeFrom="margin">
                <wp:align>right</wp:align>
              </wp:positionH>
              <wp:positionV relativeFrom="paragraph">
                <wp:posOffset>635</wp:posOffset>
              </wp:positionV>
              <wp:extent cx="14605" cy="14605"/>
              <wp:effectExtent l="0" t="0" r="0" b="0"/>
              <wp:wrapSquare wrapText="bothSides"/>
              <wp:docPr id="1" name="Врезка1"/>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Врезка1" path="m0,0l-2147483645,0l-2147483645,-2147483646l0,-2147483646xe" stroked="f" o:allowincell="f" style="position:absolute;margin-left:0pt;margin-top:0.05pt;width:1.1pt;height:1.1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635" simplePos="0" locked="0" layoutInCell="0" allowOverlap="1" relativeHeight="36">
              <wp:simplePos x="0" y="0"/>
              <wp:positionH relativeFrom="margin">
                <wp:posOffset>6112510</wp:posOffset>
              </wp:positionH>
              <wp:positionV relativeFrom="paragraph">
                <wp:posOffset>635</wp:posOffset>
              </wp:positionV>
              <wp:extent cx="276860" cy="145415"/>
              <wp:effectExtent l="0" t="0" r="0" b="0"/>
              <wp:wrapSquare wrapText="bothSides"/>
              <wp:docPr id="3" name="Врезка2"/>
              <a:graphic xmlns:a="http://schemas.openxmlformats.org/drawingml/2006/main">
                <a:graphicData uri="http://schemas.microsoft.com/office/word/2010/wordprocessingShape">
                  <wps:wsp>
                    <wps:cNvSpPr/>
                    <wps:spPr>
                      <a:xfrm>
                        <a:off x="0" y="0"/>
                        <a:ext cx="276840" cy="14544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17</w:t>
                          </w:r>
                          <w:r>
                            <w:rPr>
                              <w:rStyle w:val="Pagenumber"/>
                              <w:color w:val="000000"/>
                            </w:rPr>
                            <w:fldChar w:fldCharType="end"/>
                          </w:r>
                        </w:p>
                      </w:txbxContent>
                    </wps:txbx>
                    <wps:bodyPr lIns="0" rIns="0" tIns="0" bIns="0" anchor="t">
                      <a:spAutoFit/>
                    </wps:bodyPr>
                  </wps:wsp>
                </a:graphicData>
              </a:graphic>
            </wp:anchor>
          </w:drawing>
        </mc:Choice>
        <mc:Fallback>
          <w:pict>
            <v:rect id="shape_0" ID="Врезка2" path="m0,0l-2147483645,0l-2147483645,-2147483646l0,-2147483646xe" stroked="f" o:allowincell="f" style="position:absolute;margin-left:481.3pt;margin-top:0.05pt;width:21.75pt;height:11.4pt;mso-wrap-style:square;v-text-anchor:top;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17</w:t>
                    </w:r>
                    <w:r>
                      <w:rPr>
                        <w:rStyle w:val="Pagenumber"/>
                        <w:color w:val="000000"/>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635" simplePos="0" locked="0" layoutInCell="0" allowOverlap="1" relativeHeight="36">
              <wp:simplePos x="0" y="0"/>
              <wp:positionH relativeFrom="margin">
                <wp:posOffset>6112510</wp:posOffset>
              </wp:positionH>
              <wp:positionV relativeFrom="paragraph">
                <wp:posOffset>635</wp:posOffset>
              </wp:positionV>
              <wp:extent cx="276860" cy="145415"/>
              <wp:effectExtent l="0" t="0" r="0" b="0"/>
              <wp:wrapSquare wrapText="bothSides"/>
              <wp:docPr id="5" name="Врезка2"/>
              <a:graphic xmlns:a="http://schemas.openxmlformats.org/drawingml/2006/main">
                <a:graphicData uri="http://schemas.microsoft.com/office/word/2010/wordprocessingShape">
                  <wps:wsp>
                    <wps:cNvSpPr/>
                    <wps:spPr>
                      <a:xfrm>
                        <a:off x="0" y="0"/>
                        <a:ext cx="276840" cy="14544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17</w:t>
                          </w:r>
                          <w:r>
                            <w:rPr>
                              <w:rStyle w:val="Pagenumber"/>
                              <w:color w:val="000000"/>
                            </w:rPr>
                            <w:fldChar w:fldCharType="end"/>
                          </w:r>
                        </w:p>
                      </w:txbxContent>
                    </wps:txbx>
                    <wps:bodyPr lIns="0" rIns="0" tIns="0" bIns="0" anchor="t">
                      <a:spAutoFit/>
                    </wps:bodyPr>
                  </wps:wsp>
                </a:graphicData>
              </a:graphic>
            </wp:anchor>
          </w:drawing>
        </mc:Choice>
        <mc:Fallback>
          <w:pict>
            <v:rect id="shape_0" ID="Врезка2" path="m0,0l-2147483645,0l-2147483645,-2147483646l0,-2147483646xe" stroked="f" o:allowincell="f" style="position:absolute;margin-left:481.3pt;margin-top:0.05pt;width:21.75pt;height:11.4pt;mso-wrap-style:square;v-text-anchor:top;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17</w:t>
                    </w:r>
                    <w:r>
                      <w:rPr>
                        <w:rStyle w:val="Pagenumber"/>
                        <w:color w:val="000000"/>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42">
              <wp:simplePos x="0" y="0"/>
              <wp:positionH relativeFrom="margin">
                <wp:align>right</wp:align>
              </wp:positionH>
              <wp:positionV relativeFrom="paragraph">
                <wp:posOffset>635</wp:posOffset>
              </wp:positionV>
              <wp:extent cx="127635" cy="145415"/>
              <wp:effectExtent l="0" t="0" r="0" b="0"/>
              <wp:wrapSquare wrapText="bothSides"/>
              <wp:docPr id="7" name="Врезка3"/>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19</w:t>
                          </w:r>
                          <w:r>
                            <w:rPr>
                              <w:rStyle w:val="Pagenumber"/>
                              <w:color w:val="000000"/>
                            </w:rPr>
                            <w:fldChar w:fldCharType="end"/>
                          </w:r>
                        </w:p>
                      </w:txbxContent>
                    </wps:txbx>
                    <wps:bodyPr lIns="0" rIns="0" tIns="0" bIns="0" anchor="t">
                      <a:spAutoFit/>
                    </wps:bodyPr>
                  </wps:wsp>
                </a:graphicData>
              </a:graphic>
            </wp:anchor>
          </w:drawing>
        </mc:Choice>
        <mc:Fallback>
          <w:pict>
            <v:rect id="shape_0" ID="Врезка3" path="m0,0l-2147483645,0l-2147483645,-2147483646l0,-2147483646xe" stroked="f" o:allowincell="f" style="position:absolute;margin-left:739.7pt;margin-top:0.05pt;width:10pt;height:11.4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19</w:t>
                    </w:r>
                    <w:r>
                      <w:rPr>
                        <w:rStyle w:val="Pagenumber"/>
                        <w:color w:val="000000"/>
                      </w:rPr>
                      <w:fldChar w:fldCharType="end"/>
                    </w:r>
                  </w:p>
                </w:txbxContent>
              </v:textbox>
              <w10:wrap type="square"/>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38">
              <wp:simplePos x="0" y="0"/>
              <wp:positionH relativeFrom="margin">
                <wp:align>right</wp:align>
              </wp:positionH>
              <wp:positionV relativeFrom="paragraph">
                <wp:posOffset>635</wp:posOffset>
              </wp:positionV>
              <wp:extent cx="127635" cy="145415"/>
              <wp:effectExtent l="0" t="0" r="0" b="0"/>
              <wp:wrapSquare wrapText="bothSides"/>
              <wp:docPr id="9" name="Врезка4"/>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20</w:t>
                          </w:r>
                          <w:r>
                            <w:rPr>
                              <w:rStyle w:val="Pagenumber"/>
                              <w:color w:val="000000"/>
                            </w:rPr>
                            <w:fldChar w:fldCharType="end"/>
                          </w:r>
                        </w:p>
                      </w:txbxContent>
                    </wps:txbx>
                    <wps:bodyPr lIns="0" rIns="0" tIns="0" bIns="0" anchor="t">
                      <a:spAutoFit/>
                    </wps:bodyPr>
                  </wps:wsp>
                </a:graphicData>
              </a:graphic>
            </wp:anchor>
          </w:drawing>
        </mc:Choice>
        <mc:Fallback>
          <w:pict>
            <v:rect id="shape_0" ID="Врезка4" path="m0,0l-2147483645,0l-2147483645,-2147483646l0,-2147483646xe" stroked="f" o:allowincell="f" style="position:absolute;margin-left:485.95pt;margin-top:0.05pt;width:10pt;height:11.4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20</w:t>
                    </w:r>
                    <w:r>
                      <w:rPr>
                        <w:rStyle w:val="Pagenumber"/>
                        <w:color w:val="000000"/>
                      </w:rPr>
                      <w:fldChar w:fldCharType="end"/>
                    </w:r>
                  </w:p>
                </w:txbxContent>
              </v:textbox>
              <w10:wrap type="square"/>
            </v:rect>
          </w:pict>
        </mc:Fallback>
      </mc:AlternateConten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jc w:val="both"/>
        <w:rPr/>
      </w:pPr>
      <w:r>
        <w:rPr>
          <w:rStyle w:val="Style9"/>
        </w:rPr>
        <w:footnoteRef/>
      </w:r>
      <w:r>
        <w:rPr/>
        <w:t xml:space="preserve"> </w:t>
      </w:r>
      <w:r>
        <w:rPr/>
        <w:t>Здесь и далее подчеркиванием, обозначен текст, доступный для удаления или редактирования в процессе подготовки договора, так же, как и поля, отмеченные пропусками.</w:t>
      </w:r>
    </w:p>
  </w:footnote>
  <w:footnote w:id="3">
    <w:p>
      <w:pPr>
        <w:pStyle w:val="FootnoteText"/>
        <w:jc w:val="both"/>
        <w:rPr/>
      </w:pPr>
      <w:r>
        <w:rPr>
          <w:rStyle w:val="Style9"/>
        </w:rPr>
        <w:footnoteRef/>
      </w:r>
      <w:r>
        <w:rPr/>
        <w:t xml:space="preserve"> </w:t>
      </w:r>
      <w:r>
        <w:rPr/>
        <w:t>НДС не облагается (уведомление о возможности применения упрощенной системы налогообложения №___________от___________) – в случае если контрагент применяет УСНО (форма ФНС № 26.2-2)</w:t>
      </w:r>
    </w:p>
  </w:footnote>
  <w:footnote w:id="4">
    <w:p>
      <w:pPr>
        <w:pStyle w:val="FootnoteText"/>
        <w:rPr/>
      </w:pPr>
      <w:r>
        <w:rPr>
          <w:rStyle w:val="Style9"/>
        </w:rPr>
        <w:footnoteRef/>
      </w:r>
      <w:r>
        <w:rPr/>
        <w:t xml:space="preserve"> </w:t>
      </w:r>
      <w:r>
        <w:rPr/>
        <w:t>Если контрагент применяется упрощенную систему налогообложения – данный пункт не применяется.</w:t>
      </w:r>
    </w:p>
  </w:footnote>
  <w:footnote w:id="5">
    <w:p>
      <w:pPr>
        <w:pStyle w:val="FootnoteText"/>
        <w:rPr/>
      </w:pPr>
      <w:r>
        <w:rPr>
          <w:rStyle w:val="Style9"/>
        </w:rPr>
        <w:footnoteRef/>
      </w:r>
      <w:r>
        <w:rPr/>
        <w:t xml:space="preserve"> </w:t>
      </w:r>
      <w:r>
        <w:rPr/>
        <w:t>Если контрагент применяется упрощенную систему налогообложения – данный пункт не применяется.</w:t>
      </w:r>
    </w:p>
  </w:footnote>
  <w:footnote w:id="6">
    <w:p>
      <w:pPr>
        <w:pStyle w:val="FootnoteText"/>
        <w:jc w:val="both"/>
        <w:rPr/>
      </w:pPr>
      <w:r>
        <w:rPr>
          <w:rStyle w:val="Style9"/>
        </w:rPr>
        <w:footnoteRef/>
      </w:r>
      <w:r>
        <w:rPr/>
        <w:t xml:space="preserve"> </w:t>
      </w:r>
      <w:r>
        <w:rPr/>
        <w:t>НДС не облагается (уведомление о возможности применения упрощенной системы налогообложения №___________от___________) – в случае если контрагент применяет УСНО (форма ФНС № 26.2-2)</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t>ПРОЕКТ ДОГОВОРА</w:t>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t>ПРОЕКТ ДОГОВОРА</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t>ПРОЕКТ ДОГОВОРА</w:t>
    </w:r>
  </w:p>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numFmt w:val="decimal"/>
      <w:lvlText w:val="%1"/>
      <w:lvlJc w:val="left"/>
      <w:pPr>
        <w:tabs>
          <w:tab w:val="num" w:pos="360"/>
        </w:tabs>
        <w:ind w:left="360" w:hanging="360"/>
      </w:pPr>
      <w:rPr/>
    </w:lvl>
    <w:lvl w:ilvl="1">
      <w:start w:val="2"/>
      <w:numFmt w:val="decimal"/>
      <w:lvlText w:val="%1.%2"/>
      <w:lvlJc w:val="left"/>
      <w:pPr>
        <w:tabs>
          <w:tab w:val="num" w:pos="360"/>
        </w:tabs>
        <w:ind w:left="360" w:hanging="360"/>
      </w:pPr>
      <w:rPr/>
    </w:lvl>
    <w:lvl w:ilvl="2">
      <w:start w:val="1"/>
      <w:numFmt w:val="decimal"/>
      <w:lvlText w:val="%1.%2.%3"/>
      <w:lvlJc w:val="left"/>
      <w:pPr>
        <w:tabs>
          <w:tab w:val="num" w:pos="720"/>
        </w:tabs>
        <w:ind w:left="720" w:hanging="720"/>
      </w:pPr>
      <w:rPr/>
    </w:lvl>
    <w:lvl w:ilvl="3">
      <w:start w:val="1"/>
      <w:numFmt w:val="decimal"/>
      <w:lvlText w:val="%1.%2.%3.%4"/>
      <w:lvlJc w:val="left"/>
      <w:pPr>
        <w:tabs>
          <w:tab w:val="num" w:pos="720"/>
        </w:tabs>
        <w:ind w:left="720" w:hanging="720"/>
      </w:pPr>
      <w:rPr/>
    </w:lvl>
    <w:lvl w:ilvl="4">
      <w:start w:val="1"/>
      <w:numFmt w:val="decimal"/>
      <w:lvlText w:val="%1.%2.%3.%4.%5"/>
      <w:lvlJc w:val="left"/>
      <w:pPr>
        <w:tabs>
          <w:tab w:val="num" w:pos="720"/>
        </w:tabs>
        <w:ind w:left="720" w:hanging="720"/>
      </w:pPr>
      <w:rPr/>
    </w:lvl>
    <w:lvl w:ilvl="5">
      <w:start w:val="1"/>
      <w:numFmt w:val="decimal"/>
      <w:lvlText w:val="%1.%2.%3.%4.%5.%6"/>
      <w:lvlJc w:val="left"/>
      <w:pPr>
        <w:tabs>
          <w:tab w:val="num" w:pos="1080"/>
        </w:tabs>
        <w:ind w:left="1080" w:hanging="1080"/>
      </w:pPr>
      <w:rPr/>
    </w:lvl>
    <w:lvl w:ilvl="6">
      <w:start w:val="1"/>
      <w:numFmt w:val="decimal"/>
      <w:lvlText w:val="%1.%2.%3.%4.%5.%6.%7"/>
      <w:lvlJc w:val="left"/>
      <w:pPr>
        <w:tabs>
          <w:tab w:val="num" w:pos="1080"/>
        </w:tabs>
        <w:ind w:left="1080" w:hanging="1080"/>
      </w:pPr>
      <w:rPr/>
    </w:lvl>
    <w:lvl w:ilvl="7">
      <w:start w:val="1"/>
      <w:numFmt w:val="decimal"/>
      <w:lvlText w:val="%1.%2.%3.%4.%5.%6.%7.%8"/>
      <w:lvlJc w:val="left"/>
      <w:pPr>
        <w:tabs>
          <w:tab w:val="num" w:pos="1440"/>
        </w:tabs>
        <w:ind w:left="1440" w:hanging="1440"/>
      </w:pPr>
      <w:rPr/>
    </w:lvl>
    <w:lvl w:ilvl="8">
      <w:start w:val="1"/>
      <w:numFmt w:val="decimal"/>
      <w:lvlText w:val="%1.%2.%3.%4.%5.%6.%7.%8.%9"/>
      <w:lvlJc w:val="left"/>
      <w:pPr>
        <w:tabs>
          <w:tab w:val="num" w:pos="1440"/>
        </w:tabs>
        <w:ind w:left="1440" w:hanging="1440"/>
      </w:pPr>
      <w:rPr/>
    </w:lvl>
  </w:abstractNum>
  <w:abstractNum w:abstractNumId="2">
    <w:lvl w:ilvl="0">
      <w:start w:val="2"/>
      <w:numFmt w:val="decimal"/>
      <w:lvlText w:val="%1"/>
      <w:lvlJc w:val="left"/>
      <w:pPr>
        <w:tabs>
          <w:tab w:val="num" w:pos="720"/>
        </w:tabs>
        <w:ind w:left="284" w:firstLine="76"/>
      </w:pPr>
      <w:rPr/>
    </w:lvl>
    <w:lvl w:ilvl="1">
      <w:start w:val="1"/>
      <w:numFmt w:val="decimal"/>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3">
    <w:lvl w:ilvl="0">
      <w:start w:val="1"/>
      <w:numFmt w:val="bullet"/>
      <w:lvlText w:val=""/>
      <w:lvlJc w:val="left"/>
      <w:pPr>
        <w:tabs>
          <w:tab w:val="num" w:pos="1287"/>
        </w:tabs>
        <w:ind w:left="1287" w:hanging="360"/>
      </w:pPr>
      <w:rPr>
        <w:rFonts w:ascii="Symbol" w:hAnsi="Symbol" w:cs="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cs="Wingdings" w:hint="default"/>
      </w:rPr>
    </w:lvl>
    <w:lvl w:ilvl="3">
      <w:start w:val="1"/>
      <w:numFmt w:val="bullet"/>
      <w:lvlText w:val=""/>
      <w:lvlJc w:val="left"/>
      <w:pPr>
        <w:tabs>
          <w:tab w:val="num" w:pos="3447"/>
        </w:tabs>
        <w:ind w:left="3447" w:hanging="360"/>
      </w:pPr>
      <w:rPr>
        <w:rFonts w:ascii="Symbol" w:hAnsi="Symbol" w:cs="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cs="Wingdings" w:hint="default"/>
      </w:rPr>
    </w:lvl>
    <w:lvl w:ilvl="6">
      <w:start w:val="1"/>
      <w:numFmt w:val="bullet"/>
      <w:lvlText w:val=""/>
      <w:lvlJc w:val="left"/>
      <w:pPr>
        <w:tabs>
          <w:tab w:val="num" w:pos="5607"/>
        </w:tabs>
        <w:ind w:left="5607" w:hanging="360"/>
      </w:pPr>
      <w:rPr>
        <w:rFonts w:ascii="Symbol" w:hAnsi="Symbol" w:cs="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cs="Wingdings" w:hint="default"/>
      </w:rPr>
    </w:lvl>
  </w:abstractNum>
  <w:abstractNum w:abstractNumId="4">
    <w:lvl w:ilvl="0">
      <w:start w:val="3"/>
      <w:numFmt w:val="decimal"/>
      <w:lvlText w:val="%1."/>
      <w:lvlJc w:val="left"/>
      <w:pPr>
        <w:tabs>
          <w:tab w:val="num" w:pos="360"/>
        </w:tabs>
        <w:ind w:left="360" w:hanging="360"/>
      </w:pPr>
      <w:rPr/>
    </w:lvl>
    <w:lvl w:ilvl="1">
      <w:start w:val="1"/>
      <w:numFmt w:val="decimal"/>
      <w:lvlText w:val="%1.%2."/>
      <w:lvlJc w:val="left"/>
      <w:pPr>
        <w:tabs>
          <w:tab w:val="num" w:pos="1636"/>
        </w:tabs>
        <w:ind w:left="1636" w:hanging="360"/>
      </w:pPr>
      <w:rPr>
        <w:sz w:val="24"/>
        <w:szCs w:val="24"/>
      </w:rPr>
    </w:lvl>
    <w:lvl w:ilvl="2">
      <w:start w:val="1"/>
      <w:numFmt w:val="decimal"/>
      <w:lvlText w:val="%1.%2.%3."/>
      <w:lvlJc w:val="left"/>
      <w:pPr>
        <w:tabs>
          <w:tab w:val="num" w:pos="2160"/>
        </w:tabs>
        <w:ind w:left="2160" w:hanging="720"/>
      </w:pPr>
      <w:rPr/>
    </w:lvl>
    <w:lvl w:ilvl="3">
      <w:start w:val="1"/>
      <w:numFmt w:val="decimal"/>
      <w:lvlText w:val="%1.%2.%3.%4."/>
      <w:lvlJc w:val="left"/>
      <w:pPr>
        <w:tabs>
          <w:tab w:val="num" w:pos="2880"/>
        </w:tabs>
        <w:ind w:left="2880" w:hanging="720"/>
      </w:pPr>
      <w:rPr/>
    </w:lvl>
    <w:lvl w:ilvl="4">
      <w:start w:val="1"/>
      <w:numFmt w:val="decimal"/>
      <w:lvlText w:val="%1.%2.%3.%4.%5."/>
      <w:lvlJc w:val="left"/>
      <w:pPr>
        <w:tabs>
          <w:tab w:val="num" w:pos="3960"/>
        </w:tabs>
        <w:ind w:left="3960" w:hanging="1080"/>
      </w:pPr>
      <w:rPr/>
    </w:lvl>
    <w:lvl w:ilvl="5">
      <w:start w:val="1"/>
      <w:numFmt w:val="decimal"/>
      <w:lvlText w:val="%1.%2.%3.%4.%5.%6."/>
      <w:lvlJc w:val="left"/>
      <w:pPr>
        <w:tabs>
          <w:tab w:val="num" w:pos="4680"/>
        </w:tabs>
        <w:ind w:left="4680" w:hanging="1080"/>
      </w:pPr>
      <w:rPr/>
    </w:lvl>
    <w:lvl w:ilvl="6">
      <w:start w:val="1"/>
      <w:numFmt w:val="decimal"/>
      <w:lvlText w:val="%1.%2.%3.%4.%5.%6.%7."/>
      <w:lvlJc w:val="left"/>
      <w:pPr>
        <w:tabs>
          <w:tab w:val="num" w:pos="5760"/>
        </w:tabs>
        <w:ind w:left="5760" w:hanging="1440"/>
      </w:pPr>
      <w:rPr/>
    </w:lvl>
    <w:lvl w:ilvl="7">
      <w:start w:val="1"/>
      <w:numFmt w:val="decimal"/>
      <w:lvlText w:val="%1.%2.%3.%4.%5.%6.%7.%8."/>
      <w:lvlJc w:val="left"/>
      <w:pPr>
        <w:tabs>
          <w:tab w:val="num" w:pos="6480"/>
        </w:tabs>
        <w:ind w:left="6480" w:hanging="1440"/>
      </w:pPr>
      <w:rPr/>
    </w:lvl>
    <w:lvl w:ilvl="8">
      <w:start w:val="1"/>
      <w:numFmt w:val="decimal"/>
      <w:lvlText w:val="%1.%2.%3.%4.%5.%6.%7.%8.%9."/>
      <w:lvlJc w:val="left"/>
      <w:pPr>
        <w:tabs>
          <w:tab w:val="num" w:pos="7560"/>
        </w:tabs>
        <w:ind w:left="7560" w:hanging="1800"/>
      </w:pPr>
      <w:rPr/>
    </w:lvl>
  </w:abstractNum>
  <w:abstractNum w:abstractNumId="5">
    <w:lvl w:ilvl="0">
      <w:start w:val="1"/>
      <w:numFmt w:val="bullet"/>
      <w:lvlText w:val=""/>
      <w:lvlJc w:val="left"/>
      <w:pPr>
        <w:tabs>
          <w:tab w:val="num" w:pos="1353"/>
        </w:tabs>
        <w:ind w:left="1353"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
    <w:lvl w:ilvl="0">
      <w:start w:val="1"/>
      <w:numFmt w:val="decimal"/>
      <w:lvlText w:val="%1."/>
      <w:lvlJc w:val="left"/>
      <w:pPr>
        <w:tabs>
          <w:tab w:val="num" w:pos="5321"/>
        </w:tabs>
        <w:ind w:left="5321" w:hanging="360"/>
      </w:pPr>
      <w:rPr>
        <w:b/>
        <w:bCs/>
      </w:rPr>
    </w:lvl>
    <w:lvl w:ilvl="1">
      <w:start w:val="1"/>
      <w:numFmt w:val="decimal"/>
      <w:lvlText w:val="%1.%2."/>
      <w:lvlJc w:val="left"/>
      <w:pPr>
        <w:tabs>
          <w:tab w:val="num" w:pos="1425"/>
        </w:tabs>
        <w:ind w:left="1425" w:hanging="432"/>
      </w:pPr>
      <w:rPr>
        <w:sz w:val="24"/>
        <w:szCs w:val="24"/>
      </w:rPr>
    </w:lvl>
    <w:lvl w:ilvl="2">
      <w:start w:val="1"/>
      <w:numFmt w:val="decimal"/>
      <w:lvlText w:val="%1.%2.%3."/>
      <w:lvlJc w:val="left"/>
      <w:pPr>
        <w:tabs>
          <w:tab w:val="num" w:pos="1440"/>
        </w:tabs>
        <w:ind w:left="122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7">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8">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9">
    <w:lvl w:ilvl="0">
      <w:start w:val="1"/>
      <w:numFmt w:val="bullet"/>
      <w:lvlText w:val="-"/>
      <w:lvlJc w:val="left"/>
      <w:pPr>
        <w:tabs>
          <w:tab w:val="num" w:pos="0"/>
        </w:tabs>
        <w:ind w:left="1069" w:hanging="360"/>
      </w:pPr>
      <w:rPr>
        <w:rFonts w:ascii="Tahoma" w:hAnsi="Tahoma" w:cs="Tahoma" w:hint="default"/>
      </w:rPr>
    </w:lvl>
    <w:lvl w:ilvl="1">
      <w:start w:val="1"/>
      <w:numFmt w:val="bullet"/>
      <w:lvlText w:val="o"/>
      <w:lvlJc w:val="left"/>
      <w:pPr>
        <w:tabs>
          <w:tab w:val="num" w:pos="0"/>
        </w:tabs>
        <w:ind w:left="1789" w:hanging="360"/>
      </w:pPr>
      <w:rPr>
        <w:rFonts w:ascii="Courier New" w:hAnsi="Courier New" w:cs="Courier New" w:hint="default"/>
      </w:rPr>
    </w:lvl>
    <w:lvl w:ilvl="2">
      <w:start w:val="1"/>
      <w:numFmt w:val="bullet"/>
      <w:lvlText w:val=""/>
      <w:lvlJc w:val="left"/>
      <w:pPr>
        <w:tabs>
          <w:tab w:val="num" w:pos="0"/>
        </w:tabs>
        <w:ind w:left="2509" w:hanging="360"/>
      </w:pPr>
      <w:rPr>
        <w:rFonts w:ascii="Wingdings" w:hAnsi="Wingdings" w:cs="Wingdings" w:hint="default"/>
      </w:rPr>
    </w:lvl>
    <w:lvl w:ilvl="3">
      <w:start w:val="1"/>
      <w:numFmt w:val="bullet"/>
      <w:lvlText w:val=""/>
      <w:lvlJc w:val="left"/>
      <w:pPr>
        <w:tabs>
          <w:tab w:val="num" w:pos="0"/>
        </w:tabs>
        <w:ind w:left="3229" w:hanging="360"/>
      </w:pPr>
      <w:rPr>
        <w:rFonts w:ascii="Symbol" w:hAnsi="Symbol" w:cs="Symbol" w:hint="default"/>
      </w:rPr>
    </w:lvl>
    <w:lvl w:ilvl="4">
      <w:start w:val="1"/>
      <w:numFmt w:val="bullet"/>
      <w:lvlText w:val="o"/>
      <w:lvlJc w:val="left"/>
      <w:pPr>
        <w:tabs>
          <w:tab w:val="num" w:pos="0"/>
        </w:tabs>
        <w:ind w:left="3949" w:hanging="360"/>
      </w:pPr>
      <w:rPr>
        <w:rFonts w:ascii="Courier New" w:hAnsi="Courier New" w:cs="Courier New" w:hint="default"/>
      </w:rPr>
    </w:lvl>
    <w:lvl w:ilvl="5">
      <w:start w:val="1"/>
      <w:numFmt w:val="bullet"/>
      <w:lvlText w:val=""/>
      <w:lvlJc w:val="left"/>
      <w:pPr>
        <w:tabs>
          <w:tab w:val="num" w:pos="0"/>
        </w:tabs>
        <w:ind w:left="4669" w:hanging="360"/>
      </w:pPr>
      <w:rPr>
        <w:rFonts w:ascii="Wingdings" w:hAnsi="Wingdings" w:cs="Wingdings" w:hint="default"/>
      </w:rPr>
    </w:lvl>
    <w:lvl w:ilvl="6">
      <w:start w:val="1"/>
      <w:numFmt w:val="bullet"/>
      <w:lvlText w:val=""/>
      <w:lvlJc w:val="left"/>
      <w:pPr>
        <w:tabs>
          <w:tab w:val="num" w:pos="0"/>
        </w:tabs>
        <w:ind w:left="5389" w:hanging="360"/>
      </w:pPr>
      <w:rPr>
        <w:rFonts w:ascii="Symbol" w:hAnsi="Symbol" w:cs="Symbol" w:hint="default"/>
      </w:rPr>
    </w:lvl>
    <w:lvl w:ilvl="7">
      <w:start w:val="1"/>
      <w:numFmt w:val="bullet"/>
      <w:lvlText w:val="o"/>
      <w:lvlJc w:val="left"/>
      <w:pPr>
        <w:tabs>
          <w:tab w:val="num" w:pos="0"/>
        </w:tabs>
        <w:ind w:left="6109" w:hanging="360"/>
      </w:pPr>
      <w:rPr>
        <w:rFonts w:ascii="Courier New" w:hAnsi="Courier New" w:cs="Courier New" w:hint="default"/>
      </w:rPr>
    </w:lvl>
    <w:lvl w:ilvl="8">
      <w:start w:val="1"/>
      <w:numFmt w:val="bullet"/>
      <w:lvlText w:val=""/>
      <w:lvlJc w:val="left"/>
      <w:pPr>
        <w:tabs>
          <w:tab w:val="num" w:pos="0"/>
        </w:tabs>
        <w:ind w:left="6829" w:hanging="360"/>
      </w:pPr>
      <w:rPr>
        <w:rFonts w:ascii="Wingdings" w:hAnsi="Wingdings" w:cs="Wingdings" w:hint="default"/>
      </w:rPr>
    </w:lvl>
  </w:abstractNum>
  <w:abstractNum w:abstractNumId="10">
    <w:lvl w:ilvl="0">
      <w:start w:val="1"/>
      <w:numFmt w:val="decimal"/>
      <w:lvlText w:val="Статья %1."/>
      <w:lvlJc w:val="left"/>
      <w:pPr>
        <w:tabs>
          <w:tab w:val="num" w:pos="720"/>
        </w:tabs>
        <w:ind w:left="720" w:hanging="360"/>
      </w:pPr>
      <w:rPr/>
    </w:lvl>
    <w:lvl w:ilvl="1">
      <w:start w:val="1"/>
      <w:numFmt w:val="decimal"/>
      <w:lvlText w:val="%1.%2."/>
      <w:lvlJc w:val="left"/>
      <w:pPr>
        <w:tabs>
          <w:tab w:val="num" w:pos="1725"/>
        </w:tabs>
        <w:ind w:left="1725" w:hanging="1185"/>
      </w:pPr>
      <w:rPr>
        <w:sz w:val="24"/>
        <w:b w:val="false"/>
        <w:szCs w:val="24"/>
      </w:rPr>
    </w:lvl>
    <w:lvl w:ilvl="2">
      <w:start w:val="1"/>
      <w:numFmt w:val="decimal"/>
      <w:lvlText w:val="%1.%2.%3."/>
      <w:lvlJc w:val="left"/>
      <w:pPr>
        <w:tabs>
          <w:tab w:val="num" w:pos="2085"/>
        </w:tabs>
        <w:ind w:left="2085" w:hanging="1185"/>
      </w:pPr>
      <w:rPr>
        <w:sz w:val="24"/>
        <w:b w:val="false"/>
        <w:szCs w:val="24"/>
      </w:rPr>
    </w:lvl>
    <w:lvl w:ilvl="3">
      <w:start w:val="1"/>
      <w:numFmt w:val="decimal"/>
      <w:lvlText w:val="%1.%2.%3.%4."/>
      <w:lvlJc w:val="left"/>
      <w:pPr>
        <w:tabs>
          <w:tab w:val="num" w:pos="2625"/>
        </w:tabs>
        <w:ind w:left="2625" w:hanging="1185"/>
      </w:pPr>
      <w:rPr/>
    </w:lvl>
    <w:lvl w:ilvl="4">
      <w:start w:val="1"/>
      <w:numFmt w:val="decimal"/>
      <w:lvlText w:val="%1.%2.%3.%4.%5."/>
      <w:lvlJc w:val="left"/>
      <w:pPr>
        <w:tabs>
          <w:tab w:val="num" w:pos="2985"/>
        </w:tabs>
        <w:ind w:left="2985" w:hanging="1185"/>
      </w:pPr>
      <w:rPr/>
    </w:lvl>
    <w:lvl w:ilvl="5">
      <w:start w:val="1"/>
      <w:numFmt w:val="decimal"/>
      <w:lvlText w:val="%1.%2.%3.%4.%5.%6."/>
      <w:lvlJc w:val="left"/>
      <w:pPr>
        <w:tabs>
          <w:tab w:val="num" w:pos="3345"/>
        </w:tabs>
        <w:ind w:left="3345" w:hanging="1185"/>
      </w:pPr>
      <w:rPr/>
    </w:lvl>
    <w:lvl w:ilvl="6">
      <w:start w:val="1"/>
      <w:numFmt w:val="decimal"/>
      <w:lvlText w:val="%1.%2.%3.%4.%5.%6.%7."/>
      <w:lvlJc w:val="left"/>
      <w:pPr>
        <w:tabs>
          <w:tab w:val="num" w:pos="3960"/>
        </w:tabs>
        <w:ind w:left="3960" w:hanging="1440"/>
      </w:pPr>
      <w:rPr/>
    </w:lvl>
    <w:lvl w:ilvl="7">
      <w:start w:val="1"/>
      <w:numFmt w:val="decimal"/>
      <w:lvlText w:val="%1.%2.%3.%4.%5.%6.%7.%8."/>
      <w:lvlJc w:val="left"/>
      <w:pPr>
        <w:tabs>
          <w:tab w:val="num" w:pos="4320"/>
        </w:tabs>
        <w:ind w:left="4320" w:hanging="1440"/>
      </w:pPr>
      <w:rPr/>
    </w:lvl>
    <w:lvl w:ilvl="8">
      <w:start w:val="1"/>
      <w:numFmt w:val="decimal"/>
      <w:lvlText w:val="%1.%2.%3.%4.%5.%6.%7.%8.%9."/>
      <w:lvlJc w:val="left"/>
      <w:pPr>
        <w:tabs>
          <w:tab w:val="num" w:pos="5040"/>
        </w:tabs>
        <w:ind w:left="5040" w:hanging="1800"/>
      </w:pPr>
      <w:rPr/>
    </w:lvl>
  </w:abstractNum>
  <w:abstractNum w:abstractNumId="11">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4">
    <w:lvl w:ilvl="0">
      <w:numFmt w:val="bullet"/>
      <w:lvlText w:val="–"/>
      <w:lvlJc w:val="left"/>
      <w:pPr>
        <w:tabs>
          <w:tab w:val="num" w:pos="0"/>
        </w:tabs>
        <w:ind w:left="1429" w:hanging="360"/>
      </w:pPr>
      <w:rPr>
        <w:rFonts w:ascii="Times New Roman" w:hAnsi="Times New Roman" w:cs="Times New Roman" w:hint="default"/>
        <w:color w:val="000000"/>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w="http://schemas.openxmlformats.org/wordprocessingml/2006/main">
  <w:zoom w:percent="100"/>
  <w:embedSystemFonts/>
  <w:defaultTabStop w:val="720"/>
  <w:autoHyphenation w:val="true"/>
  <w:footnotePr>
    <w:numFmt w:val="decimal"/>
    <w:footnote w:id="0"/>
    <w:footnote w:id="1"/>
  </w:footnotePr>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99"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uiPriority="99"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e42745"/>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ing1">
    <w:name w:val="Heading 1"/>
    <w:basedOn w:val="Normal"/>
    <w:next w:val="Normal"/>
    <w:qFormat/>
    <w:rsid w:val="00e42745"/>
    <w:pPr>
      <w:keepNext w:val="true"/>
      <w:outlineLvl w:val="0"/>
    </w:pPr>
    <w:rPr>
      <w:b/>
    </w:rPr>
  </w:style>
  <w:style w:type="paragraph" w:styleId="Heading2">
    <w:name w:val="Heading 2"/>
    <w:basedOn w:val="Normal"/>
    <w:next w:val="Normal"/>
    <w:qFormat/>
    <w:rsid w:val="00e42745"/>
    <w:pPr>
      <w:keepNext w:val="true"/>
      <w:jc w:val="both"/>
      <w:outlineLvl w:val="1"/>
    </w:pPr>
    <w:rPr>
      <w:b/>
    </w:rPr>
  </w:style>
  <w:style w:type="paragraph" w:styleId="Heading3">
    <w:name w:val="Heading 3"/>
    <w:basedOn w:val="Normal"/>
    <w:next w:val="Normal"/>
    <w:link w:val="31"/>
    <w:qFormat/>
    <w:rsid w:val="00e42745"/>
    <w:pPr>
      <w:keepNext w:val="true"/>
      <w:tabs>
        <w:tab w:val="clear" w:pos="720"/>
        <w:tab w:val="left" w:pos="0" w:leader="none"/>
      </w:tabs>
      <w:jc w:val="center"/>
      <w:outlineLvl w:val="2"/>
    </w:pPr>
    <w:rPr>
      <w:b/>
    </w:rPr>
  </w:style>
  <w:style w:type="paragraph" w:styleId="Heading4">
    <w:name w:val="Heading 4"/>
    <w:basedOn w:val="Normal"/>
    <w:next w:val="Normal"/>
    <w:qFormat/>
    <w:rsid w:val="00e42745"/>
    <w:pPr>
      <w:keepNext w:val="true"/>
      <w:numPr>
        <w:ilvl w:val="0"/>
        <w:numId w:val="1"/>
      </w:numPr>
      <w:ind w:left="3119" w:hanging="0"/>
      <w:outlineLvl w:val="3"/>
    </w:pPr>
    <w:rPr>
      <w:b/>
    </w:rPr>
  </w:style>
  <w:style w:type="paragraph" w:styleId="Heading5">
    <w:name w:val="Heading 5"/>
    <w:basedOn w:val="Normal"/>
    <w:next w:val="Normal"/>
    <w:qFormat/>
    <w:rsid w:val="00e42745"/>
    <w:pPr>
      <w:keepNext w:val="true"/>
      <w:numPr>
        <w:ilvl w:val="0"/>
        <w:numId w:val="2"/>
      </w:numPr>
      <w:jc w:val="center"/>
      <w:outlineLvl w:val="4"/>
    </w:pPr>
    <w:rPr>
      <w:b/>
    </w:rPr>
  </w:style>
  <w:style w:type="paragraph" w:styleId="Heading6">
    <w:name w:val="Heading 6"/>
    <w:basedOn w:val="Normal"/>
    <w:next w:val="Normal"/>
    <w:qFormat/>
    <w:rsid w:val="00e42745"/>
    <w:pPr>
      <w:keepNext w:val="true"/>
      <w:jc w:val="center"/>
      <w:outlineLvl w:val="5"/>
    </w:pPr>
    <w:rPr>
      <w:sz w:val="28"/>
    </w:rPr>
  </w:style>
  <w:style w:type="paragraph" w:styleId="Heading7">
    <w:name w:val="Heading 7"/>
    <w:basedOn w:val="Normal"/>
    <w:next w:val="Normal"/>
    <w:qFormat/>
    <w:rsid w:val="00e42745"/>
    <w:pPr>
      <w:keepNext w:val="true"/>
      <w:jc w:val="center"/>
      <w:outlineLvl w:val="6"/>
    </w:pPr>
    <w:rPr>
      <w:bCs/>
      <w:sz w:val="24"/>
    </w:rPr>
  </w:style>
  <w:style w:type="paragraph" w:styleId="Heading8">
    <w:name w:val="Heading 8"/>
    <w:basedOn w:val="Normal"/>
    <w:next w:val="Normal"/>
    <w:qFormat/>
    <w:rsid w:val="00e42745"/>
    <w:pPr>
      <w:keepNext w:val="true"/>
      <w:jc w:val="center"/>
      <w:outlineLvl w:val="7"/>
    </w:pPr>
    <w:rPr>
      <w:b/>
      <w:bCs/>
      <w:sz w:val="24"/>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sid w:val="00e42745"/>
    <w:rPr/>
  </w:style>
  <w:style w:type="character" w:styleId="Style1" w:customStyle="1">
    <w:name w:val="Заголовок Знак"/>
    <w:qFormat/>
    <w:rsid w:val="00ba4a00"/>
    <w:rPr>
      <w:b/>
      <w:bCs/>
      <w:sz w:val="28"/>
      <w:szCs w:val="24"/>
    </w:rPr>
  </w:style>
  <w:style w:type="character" w:styleId="2" w:customStyle="1">
    <w:name w:val="Основной текст с отступом 2 Знак"/>
    <w:link w:val="BodyTextIndent2"/>
    <w:qFormat/>
    <w:rsid w:val="0066561f"/>
    <w:rPr>
      <w:sz w:val="24"/>
    </w:rPr>
  </w:style>
  <w:style w:type="character" w:styleId="Style2" w:customStyle="1">
    <w:name w:val="Текст выноски Знак"/>
    <w:link w:val="BalloonText"/>
    <w:qFormat/>
    <w:rsid w:val="0066561f"/>
    <w:rPr>
      <w:rFonts w:ascii="Tahoma" w:hAnsi="Tahoma" w:cs="Tahoma"/>
      <w:sz w:val="16"/>
      <w:szCs w:val="16"/>
    </w:rPr>
  </w:style>
  <w:style w:type="character" w:styleId="Style3" w:customStyle="1">
    <w:name w:val="Основной текст Знак"/>
    <w:qFormat/>
    <w:rsid w:val="0066561f"/>
    <w:rPr>
      <w:sz w:val="22"/>
    </w:rPr>
  </w:style>
  <w:style w:type="character" w:styleId="3" w:customStyle="1">
    <w:name w:val="Основной текст 3 Знак"/>
    <w:link w:val="BodyText3"/>
    <w:qFormat/>
    <w:rsid w:val="0066561f"/>
    <w:rPr>
      <w:sz w:val="28"/>
    </w:rPr>
  </w:style>
  <w:style w:type="character" w:styleId="Annotationreference">
    <w:name w:val="annotation reference"/>
    <w:qFormat/>
    <w:rsid w:val="0066561f"/>
    <w:rPr>
      <w:sz w:val="16"/>
      <w:szCs w:val="16"/>
    </w:rPr>
  </w:style>
  <w:style w:type="character" w:styleId="Style4" w:customStyle="1">
    <w:name w:val="Текст примечания Знак"/>
    <w:basedOn w:val="DefaultParagraphFont"/>
    <w:link w:val="Annotationtext"/>
    <w:qFormat/>
    <w:rsid w:val="0066561f"/>
    <w:rPr/>
  </w:style>
  <w:style w:type="character" w:styleId="Style5" w:customStyle="1">
    <w:name w:val="Тема примечания Знак"/>
    <w:link w:val="Annotationsubject"/>
    <w:qFormat/>
    <w:rsid w:val="0066561f"/>
    <w:rPr>
      <w:b/>
      <w:bCs/>
    </w:rPr>
  </w:style>
  <w:style w:type="character" w:styleId="31" w:customStyle="1">
    <w:name w:val="Заголовок 3 Знак"/>
    <w:qFormat/>
    <w:rsid w:val="0066561f"/>
    <w:rPr>
      <w:b/>
    </w:rPr>
  </w:style>
  <w:style w:type="character" w:styleId="Style6" w:customStyle="1">
    <w:name w:val="Основной текст с отступом Знак"/>
    <w:qFormat/>
    <w:rsid w:val="0066561f"/>
    <w:rPr>
      <w:sz w:val="22"/>
      <w:shd w:fill="FFFFFF" w:val="clear"/>
    </w:rPr>
  </w:style>
  <w:style w:type="character" w:styleId="Style7" w:customStyle="1">
    <w:name w:val="комментарий"/>
    <w:uiPriority w:val="99"/>
    <w:qFormat/>
    <w:rsid w:val="0066561f"/>
    <w:rPr>
      <w:rFonts w:cs="Times New Roman"/>
      <w:b/>
      <w:bCs/>
      <w:i/>
      <w:iCs/>
      <w:shd w:fill="FFFF99" w:val="clear"/>
    </w:rPr>
  </w:style>
  <w:style w:type="character" w:styleId="Style8" w:customStyle="1">
    <w:name w:val="Текст сноски Знак"/>
    <w:basedOn w:val="DefaultParagraphFont"/>
    <w:uiPriority w:val="99"/>
    <w:qFormat/>
    <w:rsid w:val="0066561f"/>
    <w:rPr/>
  </w:style>
  <w:style w:type="character" w:styleId="Style9">
    <w:name w:val="Символ сноски"/>
    <w:uiPriority w:val="99"/>
    <w:qFormat/>
    <w:rsid w:val="0066561f"/>
    <w:rPr>
      <w:vertAlign w:val="superscript"/>
    </w:rPr>
  </w:style>
  <w:style w:type="character" w:styleId="FootnoteReference">
    <w:name w:val="Footnote Reference"/>
    <w:rPr>
      <w:vertAlign w:val="superscript"/>
    </w:rPr>
  </w:style>
  <w:style w:type="character" w:styleId="Style10" w:customStyle="1">
    <w:name w:val="Схема документа Знак"/>
    <w:link w:val="DocumentMap"/>
    <w:qFormat/>
    <w:rsid w:val="0066561f"/>
    <w:rPr>
      <w:rFonts w:ascii="Tahoma" w:hAnsi="Tahoma" w:cs="Tahoma"/>
      <w:shd w:fill="000080" w:val="clear"/>
    </w:rPr>
  </w:style>
  <w:style w:type="character" w:styleId="Style11" w:customStyle="1">
    <w:name w:val="Верхний колонтитул Знак"/>
    <w:basedOn w:val="DefaultParagraphFont"/>
    <w:qFormat/>
    <w:rsid w:val="0066561f"/>
    <w:rPr/>
  </w:style>
  <w:style w:type="character" w:styleId="Hyperlink">
    <w:name w:val="Hyperlink"/>
    <w:basedOn w:val="DefaultParagraphFont"/>
    <w:uiPriority w:val="99"/>
    <w:unhideWhenUsed/>
    <w:rsid w:val="0066722e"/>
    <w:rPr>
      <w:color w:val="0000FF" w:themeColor="hyperlink"/>
      <w:u w:val="single"/>
    </w:rPr>
  </w:style>
  <w:style w:type="character" w:styleId="Style12" w:customStyle="1">
    <w:name w:val="Абзац списка Знак"/>
    <w:link w:val="ListParagraph"/>
    <w:uiPriority w:val="99"/>
    <w:qFormat/>
    <w:locked/>
    <w:rsid w:val="00b11d27"/>
    <w:rPr/>
  </w:style>
  <w:style w:type="character" w:styleId="1" w:customStyle="1">
    <w:name w:val="1. Статья Знак"/>
    <w:link w:val="13"/>
    <w:qFormat/>
    <w:rsid w:val="00b11d27"/>
    <w:rPr>
      <w:sz w:val="24"/>
      <w:szCs w:val="24"/>
      <w:lang w:val="x-none" w:eastAsia="x-none"/>
    </w:rPr>
  </w:style>
  <w:style w:type="character" w:styleId="Style13">
    <w:name w:val="Символ концевой сноски"/>
    <w:qFormat/>
    <w:rPr>
      <w:vertAlign w:val="superscript"/>
    </w:rPr>
  </w:style>
  <w:style w:type="character" w:styleId="EndnoteReference">
    <w:name w:val="Endnote Reference"/>
    <w:rPr>
      <w:vertAlign w:val="superscript"/>
    </w:rPr>
  </w:style>
  <w:style w:type="character" w:styleId="WW8Num13z0">
    <w:name w:val="WW8Num13z0"/>
    <w:qFormat/>
    <w:rPr>
      <w:rFonts w:ascii="Symbol" w:hAnsi="Symbol" w:cs="Symbol"/>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11">
    <w:name w:val="Гиперссылка1"/>
    <w:basedOn w:val="DefaultParagraphFont"/>
    <w:qFormat/>
    <w:rPr>
      <w:color w:val="0000FF" w:themeColor="hyperlink"/>
      <w:u w:val="single"/>
    </w:rPr>
  </w:style>
  <w:style w:type="character" w:styleId="WW8Num36z0">
    <w:name w:val="WW8Num36z0"/>
    <w:qFormat/>
    <w:rPr/>
  </w:style>
  <w:style w:type="character" w:styleId="FootnoteReference1">
    <w:name w:val="Footnote Reference1"/>
    <w:qFormat/>
    <w:rPr>
      <w:vertAlign w:val="superscript"/>
    </w:rPr>
  </w:style>
  <w:style w:type="character" w:styleId="Style14">
    <w:name w:val="Символ нумерации"/>
    <w:qFormat/>
    <w:rPr/>
  </w:style>
  <w:style w:type="character" w:styleId="WW8Num9z0">
    <w:name w:val="WW8Num9z0"/>
    <w:qFormat/>
    <w:rPr>
      <w:rFonts w:ascii="Symbol" w:hAnsi="Symbol" w:cs="Symbol"/>
    </w:rPr>
  </w:style>
  <w:style w:type="paragraph" w:styleId="Style15">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Style3"/>
    <w:rsid w:val="00e42745"/>
    <w:pPr>
      <w:jc w:val="both"/>
    </w:pPr>
    <w:rPr>
      <w:sz w:val="22"/>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16">
    <w:name w:val="Указатель"/>
    <w:basedOn w:val="Normal"/>
    <w:qFormat/>
    <w:pPr>
      <w:suppressLineNumbers/>
    </w:pPr>
    <w:rPr/>
  </w:style>
  <w:style w:type="paragraph" w:styleId="NormalWeb">
    <w:name w:val="Normal (Web)"/>
    <w:basedOn w:val="Normal"/>
    <w:qFormat/>
    <w:rsid w:val="00e42745"/>
    <w:pPr>
      <w:spacing w:beforeAutospacing="1" w:afterAutospacing="1"/>
      <w:ind w:right="150" w:hanging="0"/>
    </w:pPr>
    <w:rPr>
      <w:rFonts w:ascii="Tahoma" w:hAnsi="Tahoma" w:cs="Tahoma"/>
      <w:color w:val="000000"/>
    </w:rPr>
  </w:style>
  <w:style w:type="paragraph" w:styleId="BodyText2">
    <w:name w:val="Body Text 2"/>
    <w:basedOn w:val="Normal"/>
    <w:qFormat/>
    <w:rsid w:val="00e42745"/>
    <w:pPr>
      <w:jc w:val="both"/>
    </w:pPr>
    <w:rPr/>
  </w:style>
  <w:style w:type="paragraph" w:styleId="Style17">
    <w:name w:val="Колонтитул"/>
    <w:basedOn w:val="Normal"/>
    <w:qFormat/>
    <w:pPr/>
    <w:rPr/>
  </w:style>
  <w:style w:type="paragraph" w:styleId="Footer">
    <w:name w:val="Footer"/>
    <w:basedOn w:val="Normal"/>
    <w:rsid w:val="00e42745"/>
    <w:pPr>
      <w:tabs>
        <w:tab w:val="clear" w:pos="720"/>
        <w:tab w:val="center" w:pos="4677" w:leader="none"/>
        <w:tab w:val="right" w:pos="9355" w:leader="none"/>
      </w:tabs>
    </w:pPr>
    <w:rPr/>
  </w:style>
  <w:style w:type="paragraph" w:styleId="Title">
    <w:name w:val="Title"/>
    <w:basedOn w:val="Normal"/>
    <w:link w:val="Style1"/>
    <w:qFormat/>
    <w:rsid w:val="00e42745"/>
    <w:pPr>
      <w:jc w:val="center"/>
    </w:pPr>
    <w:rPr>
      <w:b/>
      <w:bCs/>
      <w:sz w:val="28"/>
      <w:szCs w:val="24"/>
    </w:rPr>
  </w:style>
  <w:style w:type="paragraph" w:styleId="12" w:customStyle="1">
    <w:name w:val="Текст1"/>
    <w:basedOn w:val="Normal"/>
    <w:qFormat/>
    <w:rsid w:val="00e42745"/>
    <w:pPr>
      <w:spacing w:before="0" w:after="120"/>
      <w:jc w:val="both"/>
    </w:pPr>
    <w:rPr>
      <w:rFonts w:ascii="Courier New" w:hAnsi="Courier New"/>
      <w:sz w:val="22"/>
      <w:lang w:eastAsia="en-US"/>
    </w:rPr>
  </w:style>
  <w:style w:type="paragraph" w:styleId="BodyText3">
    <w:name w:val="Body Text 3"/>
    <w:basedOn w:val="Normal"/>
    <w:link w:val="3"/>
    <w:qFormat/>
    <w:rsid w:val="00e42745"/>
    <w:pPr>
      <w:jc w:val="both"/>
    </w:pPr>
    <w:rPr>
      <w:sz w:val="28"/>
    </w:rPr>
  </w:style>
  <w:style w:type="paragraph" w:styleId="BodyTextIndent">
    <w:name w:val="Body Text Indent"/>
    <w:basedOn w:val="Normal"/>
    <w:link w:val="Style6"/>
    <w:rsid w:val="00e42745"/>
    <w:pPr>
      <w:widowControl w:val="false"/>
      <w:shd w:val="clear" w:color="auto" w:fill="FFFFFF"/>
      <w:ind w:firstLine="567"/>
      <w:jc w:val="both"/>
    </w:pPr>
    <w:rPr>
      <w:sz w:val="22"/>
    </w:rPr>
  </w:style>
  <w:style w:type="paragraph" w:styleId="BodyTextIndent3">
    <w:name w:val="Body Text Indent 3"/>
    <w:basedOn w:val="Normal"/>
    <w:qFormat/>
    <w:rsid w:val="00e42745"/>
    <w:pPr>
      <w:shd w:val="clear" w:color="auto" w:fill="FFFFFF"/>
      <w:ind w:firstLine="567"/>
      <w:jc w:val="both"/>
    </w:pPr>
    <w:rPr>
      <w:sz w:val="28"/>
      <w:szCs w:val="24"/>
    </w:rPr>
  </w:style>
  <w:style w:type="paragraph" w:styleId="Style18" w:customStyle="1">
    <w:name w:val="Таблицы (моноширинный)"/>
    <w:basedOn w:val="Normal"/>
    <w:next w:val="Normal"/>
    <w:qFormat/>
    <w:rsid w:val="0066561f"/>
    <w:pPr>
      <w:widowControl w:val="false"/>
      <w:jc w:val="both"/>
    </w:pPr>
    <w:rPr>
      <w:rFonts w:ascii="Courier New" w:hAnsi="Courier New" w:cs="Courier New"/>
    </w:rPr>
  </w:style>
  <w:style w:type="paragraph" w:styleId="BodyTextIndent2">
    <w:name w:val="Body Text Indent 2"/>
    <w:basedOn w:val="Normal"/>
    <w:link w:val="2"/>
    <w:qFormat/>
    <w:rsid w:val="0066561f"/>
    <w:pPr>
      <w:widowControl w:val="false"/>
      <w:ind w:left="1843" w:hanging="0"/>
      <w:jc w:val="both"/>
    </w:pPr>
    <w:rPr>
      <w:sz w:val="24"/>
    </w:rPr>
  </w:style>
  <w:style w:type="paragraph" w:styleId="BalloonText">
    <w:name w:val="Balloon Text"/>
    <w:basedOn w:val="Normal"/>
    <w:link w:val="Style2"/>
    <w:qFormat/>
    <w:rsid w:val="0066561f"/>
    <w:pPr>
      <w:widowControl w:val="false"/>
    </w:pPr>
    <w:rPr>
      <w:rFonts w:ascii="Tahoma" w:hAnsi="Tahoma" w:cs="Tahoma"/>
      <w:sz w:val="16"/>
      <w:szCs w:val="16"/>
    </w:rPr>
  </w:style>
  <w:style w:type="paragraph" w:styleId="Annotationtext">
    <w:name w:val="annotation text"/>
    <w:basedOn w:val="Normal"/>
    <w:link w:val="Style4"/>
    <w:qFormat/>
    <w:rsid w:val="0066561f"/>
    <w:pPr>
      <w:widowControl w:val="false"/>
    </w:pPr>
    <w:rPr/>
  </w:style>
  <w:style w:type="paragraph" w:styleId="Annotationsubject">
    <w:name w:val="annotation subject"/>
    <w:basedOn w:val="Annotationtext"/>
    <w:next w:val="Annotationtext"/>
    <w:link w:val="Style5"/>
    <w:qFormat/>
    <w:rsid w:val="0066561f"/>
    <w:pPr/>
    <w:rPr>
      <w:b/>
      <w:bCs/>
    </w:rPr>
  </w:style>
  <w:style w:type="paragraph" w:styleId="ListParagraph">
    <w:name w:val="List Paragraph"/>
    <w:basedOn w:val="Normal"/>
    <w:link w:val="Style12"/>
    <w:uiPriority w:val="99"/>
    <w:qFormat/>
    <w:rsid w:val="0066561f"/>
    <w:pPr>
      <w:widowControl w:val="false"/>
      <w:spacing w:before="0" w:after="0"/>
      <w:ind w:left="720" w:hanging="0"/>
      <w:contextualSpacing/>
    </w:pPr>
    <w:rPr/>
  </w:style>
  <w:style w:type="paragraph" w:styleId="Style19" w:customStyle="1">
    <w:name w:val="Знак Знак Знак Знак Знак Знак Знак Знак Знак"/>
    <w:basedOn w:val="Normal"/>
    <w:uiPriority w:val="99"/>
    <w:qFormat/>
    <w:rsid w:val="0066561f"/>
    <w:pPr>
      <w:spacing w:lineRule="exact" w:line="240" w:before="0" w:after="160"/>
      <w:jc w:val="both"/>
    </w:pPr>
    <w:rPr>
      <w:rFonts w:ascii="Verdana" w:hAnsi="Verdana"/>
      <w:sz w:val="22"/>
      <w:lang w:val="en-US" w:eastAsia="en-US"/>
    </w:rPr>
  </w:style>
  <w:style w:type="paragraph" w:styleId="Style20" w:customStyle="1">
    <w:name w:val="Подпункт договора"/>
    <w:basedOn w:val="Normal"/>
    <w:qFormat/>
    <w:rsid w:val="0066561f"/>
    <w:pPr>
      <w:tabs>
        <w:tab w:val="clear" w:pos="720"/>
        <w:tab w:val="left" w:pos="360" w:leader="none"/>
      </w:tabs>
      <w:jc w:val="both"/>
    </w:pPr>
    <w:rPr>
      <w:rFonts w:ascii="Arial" w:hAnsi="Arial"/>
    </w:rPr>
  </w:style>
  <w:style w:type="paragraph" w:styleId="ConsNormal" w:customStyle="1">
    <w:name w:val="ConsNormal"/>
    <w:qFormat/>
    <w:rsid w:val="0066561f"/>
    <w:pPr>
      <w:widowControl/>
      <w:suppressAutoHyphens w:val="true"/>
      <w:bidi w:val="0"/>
      <w:spacing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Style21" w:customStyle="1">
    <w:name w:val="Знак"/>
    <w:basedOn w:val="Normal"/>
    <w:qFormat/>
    <w:rsid w:val="0066561f"/>
    <w:pPr>
      <w:spacing w:lineRule="exact" w:line="240" w:before="0" w:after="160"/>
    </w:pPr>
    <w:rPr>
      <w:rFonts w:ascii="Verdana" w:hAnsi="Verdana" w:cs="Verdana"/>
      <w:lang w:val="en-US" w:eastAsia="en-US"/>
    </w:rPr>
  </w:style>
  <w:style w:type="paragraph" w:styleId="FootnoteText">
    <w:name w:val="Footnote Text"/>
    <w:basedOn w:val="Normal"/>
    <w:link w:val="Style8"/>
    <w:uiPriority w:val="99"/>
    <w:rsid w:val="0066561f"/>
    <w:pPr>
      <w:widowControl w:val="false"/>
    </w:pPr>
    <w:rPr/>
  </w:style>
  <w:style w:type="paragraph" w:styleId="ListBullet3">
    <w:name w:val="List Bullet 3"/>
    <w:basedOn w:val="Normal"/>
    <w:uiPriority w:val="99"/>
    <w:unhideWhenUsed/>
    <w:qFormat/>
    <w:rsid w:val="0066561f"/>
    <w:pPr>
      <w:tabs>
        <w:tab w:val="clear" w:pos="720"/>
        <w:tab w:val="left" w:pos="1418" w:leader="none"/>
      </w:tabs>
      <w:spacing w:lineRule="auto" w:line="360" w:before="120" w:after="0"/>
      <w:ind w:firstLine="720"/>
      <w:jc w:val="both"/>
    </w:pPr>
    <w:rPr>
      <w:rFonts w:eastAsia="Calibri"/>
      <w:i/>
      <w:iCs/>
      <w:sz w:val="24"/>
      <w:szCs w:val="24"/>
    </w:rPr>
  </w:style>
  <w:style w:type="paragraph" w:styleId="-" w:customStyle="1">
    <w:name w:val="Контракт-пункт"/>
    <w:basedOn w:val="Normal"/>
    <w:qFormat/>
    <w:rsid w:val="0066561f"/>
    <w:pPr>
      <w:tabs>
        <w:tab w:val="clear" w:pos="720"/>
        <w:tab w:val="left" w:pos="851" w:leader="none"/>
      </w:tabs>
      <w:spacing w:lineRule="auto" w:line="360"/>
      <w:ind w:left="851" w:hanging="851"/>
      <w:jc w:val="both"/>
    </w:pPr>
    <w:rPr>
      <w:rFonts w:eastAsia="Calibri"/>
      <w:sz w:val="28"/>
      <w:szCs w:val="28"/>
    </w:rPr>
  </w:style>
  <w:style w:type="paragraph" w:styleId="DocumentMap">
    <w:name w:val="Document Map"/>
    <w:basedOn w:val="Normal"/>
    <w:link w:val="Style10"/>
    <w:qFormat/>
    <w:rsid w:val="0066561f"/>
    <w:pPr>
      <w:widowControl w:val="false"/>
      <w:shd w:val="clear" w:color="auto" w:fill="000080"/>
    </w:pPr>
    <w:rPr>
      <w:rFonts w:ascii="Tahoma" w:hAnsi="Tahoma" w:cs="Tahoma"/>
    </w:rPr>
  </w:style>
  <w:style w:type="paragraph" w:styleId="Revision">
    <w:name w:val="Revision"/>
    <w:uiPriority w:val="99"/>
    <w:semiHidden/>
    <w:qFormat/>
    <w:rsid w:val="0066561f"/>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er">
    <w:name w:val="Header"/>
    <w:basedOn w:val="Normal"/>
    <w:link w:val="Style11"/>
    <w:rsid w:val="0066561f"/>
    <w:pPr>
      <w:widowControl w:val="false"/>
      <w:tabs>
        <w:tab w:val="clear" w:pos="720"/>
        <w:tab w:val="center" w:pos="4677" w:leader="none"/>
        <w:tab w:val="right" w:pos="9355" w:leader="none"/>
      </w:tabs>
    </w:pPr>
    <w:rPr/>
  </w:style>
  <w:style w:type="paragraph" w:styleId="13" w:customStyle="1">
    <w:name w:val="1. Статья"/>
    <w:basedOn w:val="Heading3"/>
    <w:link w:val="1"/>
    <w:qFormat/>
    <w:rsid w:val="00b11d27"/>
    <w:pPr>
      <w:keepNext w:val="false"/>
      <w:widowControl w:val="false"/>
      <w:numPr>
        <w:ilvl w:val="0"/>
        <w:numId w:val="10"/>
      </w:numPr>
      <w:tabs>
        <w:tab w:val="left" w:pos="0" w:leader="none"/>
        <w:tab w:val="left" w:pos="2340" w:leader="none"/>
      </w:tabs>
      <w:overflowPunct w:val="true"/>
      <w:ind w:right="1462" w:hanging="0"/>
      <w:textAlignment w:val="baseline"/>
    </w:pPr>
    <w:rPr>
      <w:b w:val="false"/>
      <w:sz w:val="24"/>
      <w:szCs w:val="24"/>
      <w:lang w:val="x-none" w:eastAsia="x-none"/>
    </w:rPr>
  </w:style>
  <w:style w:type="paragraph" w:styleId="21" w:customStyle="1">
    <w:name w:val="2. Пункт"/>
    <w:basedOn w:val="Heading3"/>
    <w:qFormat/>
    <w:rsid w:val="00b11d27"/>
    <w:pPr>
      <w:keepNext w:val="false"/>
      <w:widowControl w:val="false"/>
      <w:numPr>
        <w:ilvl w:val="1"/>
        <w:numId w:val="10"/>
      </w:numPr>
      <w:overflowPunct w:val="true"/>
      <w:jc w:val="both"/>
      <w:textAlignment w:val="baseline"/>
    </w:pPr>
    <w:rPr>
      <w:b w:val="false"/>
      <w:sz w:val="24"/>
      <w:szCs w:val="24"/>
      <w:lang w:val="x-none" w:eastAsia="x-none"/>
    </w:rPr>
  </w:style>
  <w:style w:type="paragraph" w:styleId="32" w:customStyle="1">
    <w:name w:val="3. Подпункт"/>
    <w:basedOn w:val="Heading3"/>
    <w:qFormat/>
    <w:rsid w:val="00b11d27"/>
    <w:pPr>
      <w:keepNext w:val="false"/>
      <w:widowControl w:val="false"/>
      <w:numPr>
        <w:ilvl w:val="2"/>
        <w:numId w:val="10"/>
      </w:numPr>
      <w:tabs>
        <w:tab w:val="left" w:pos="0" w:leader="none"/>
        <w:tab w:val="left" w:pos="1620" w:leader="none"/>
      </w:tabs>
      <w:overflowPunct w:val="true"/>
      <w:jc w:val="both"/>
      <w:textAlignment w:val="baseline"/>
    </w:pPr>
    <w:rPr>
      <w:bCs/>
      <w:sz w:val="24"/>
      <w:szCs w:val="24"/>
      <w:lang w:val="x-none" w:eastAsia="x-none"/>
    </w:rPr>
  </w:style>
  <w:style w:type="paragraph" w:styleId="Style22">
    <w:name w:val="Содержимое врезки"/>
    <w:basedOn w:val="Normal"/>
    <w:qFormat/>
    <w:pPr/>
    <w:rPr/>
  </w:style>
  <w:style w:type="paragraph" w:styleId="Standard">
    <w:name w:val="Standard"/>
    <w:qFormat/>
    <w:pPr>
      <w:widowControl/>
      <w:suppressAutoHyphens w:val="true"/>
      <w:bidi w:val="0"/>
      <w:spacing w:before="0" w:after="0"/>
      <w:jc w:val="left"/>
      <w:textAlignment w:val="baseline"/>
    </w:pPr>
    <w:rPr>
      <w:rFonts w:ascii="Times New Roman" w:hAnsi="Times New Roman" w:eastAsia="Times New Roman" w:cs="Times New Roman"/>
      <w:color w:val="auto"/>
      <w:kern w:val="2"/>
      <w:sz w:val="20"/>
      <w:szCs w:val="20"/>
      <w:lang w:val="ru-RU" w:eastAsia="ru-RU" w:bidi="ar-SA"/>
    </w:rPr>
  </w:style>
  <w:style w:type="paragraph" w:styleId="Style23">
    <w:name w:val="Текст в заданном формате"/>
    <w:basedOn w:val="Normal"/>
    <w:qFormat/>
    <w:pPr>
      <w:spacing w:before="0" w:after="0"/>
    </w:pPr>
    <w:rPr>
      <w:rFonts w:ascii="Liberation Mono" w:hAnsi="Liberation Mono" w:eastAsia="Liberation Mono" w:cs="Liberation Mono"/>
      <w:sz w:val="20"/>
      <w:szCs w:val="20"/>
    </w:rPr>
  </w:style>
  <w:style w:type="paragraph" w:styleId="Style24">
    <w:name w:val="Содержимое таблицы"/>
    <w:basedOn w:val="Normal"/>
    <w:qFormat/>
    <w:pPr>
      <w:widowControl w:val="false"/>
      <w:suppressLineNumbers/>
    </w:pPr>
    <w:rPr/>
  </w:style>
  <w:style w:type="paragraph" w:styleId="Style25">
    <w:name w:val="Заголовок таблицы"/>
    <w:basedOn w:val="Style24"/>
    <w:qFormat/>
    <w:pPr>
      <w:suppressLineNumbers/>
      <w:jc w:val="center"/>
    </w:pPr>
    <w:rPr>
      <w:b/>
      <w:bCs/>
    </w:rPr>
  </w:style>
  <w:style w:type="numbering" w:styleId="NoList" w:default="1">
    <w:name w:val="No List"/>
    <w:uiPriority w:val="99"/>
    <w:semiHidden/>
    <w:unhideWhenUsed/>
    <w:qFormat/>
  </w:style>
  <w:style w:type="numbering" w:styleId="WW8Num13">
    <w:name w:val="WW8Num13"/>
    <w:qFormat/>
  </w:style>
  <w:style w:type="numbering" w:styleId="WW8Num36">
    <w:name w:val="WW8Num36"/>
    <w:qFormat/>
  </w:style>
  <w:style w:type="numbering" w:styleId="WW8Num9">
    <w:name w:val="WW8Num9"/>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
    <w:name w:val="Table Grid"/>
    <w:basedOn w:val="a1"/>
    <w:rsid w:val="0066561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consultant.ru/document/cons_doc_LAW_371981/" TargetMode="External"/><Relationship Id="rId3" Type="http://schemas.openxmlformats.org/officeDocument/2006/relationships/hyperlink" Target="https://www.consultant.ru/document/cons_doc_LAW_371981/" TargetMode="External"/><Relationship Id="rId4" Type="http://schemas.openxmlformats.org/officeDocument/2006/relationships/hyperlink" Target="https://www.consultant.ru/document/cons_doc_LAW_371981/" TargetMode="External"/><Relationship Id="rId5" Type="http://schemas.openxmlformats.org/officeDocument/2006/relationships/hyperlink" Target="consultantplus://offline/ref=94D5CE8889791A29DE57299515463A9D6134D8237B999C803E6F853513x2A2P" TargetMode="External"/><Relationship Id="rId6" Type="http://schemas.openxmlformats.org/officeDocument/2006/relationships/hyperlink" Target="consultantplus://offline/ref=94D5CE8889791A29DE57299515463A9D6135D2287D929C803E6F853513x2A2P" TargetMode="External"/><Relationship Id="rId7" Type="http://schemas.openxmlformats.org/officeDocument/2006/relationships/hyperlink" Target="consultantplus://offline/ref=79440D5123ABA6A25F43346AB59DBAAC7032C8E1556DA64FAED62E167F76889C2B7C475C32EFC59BJ8rDH" TargetMode="External"/><Relationship Id="rId8" Type="http://schemas.openxmlformats.org/officeDocument/2006/relationships/hyperlink" Target="mailto:balakovo@rushydro.ru" TargetMode="External"/><Relationship Id="rId9" Type="http://schemas.openxmlformats.org/officeDocument/2006/relationships/header" Target="header1.xml"/><Relationship Id="rId10" Type="http://schemas.openxmlformats.org/officeDocument/2006/relationships/footer" Target="footer1.xml"/><Relationship Id="rId11" Type="http://schemas.openxmlformats.org/officeDocument/2006/relationships/footer" Target="footer2.xml"/><Relationship Id="rId12" Type="http://schemas.openxmlformats.org/officeDocument/2006/relationships/footer" Target="footer3.xml"/><Relationship Id="rId13" Type="http://schemas.openxmlformats.org/officeDocument/2006/relationships/header" Target="header2.xml"/><Relationship Id="rId14" Type="http://schemas.openxmlformats.org/officeDocument/2006/relationships/header" Target="header3.xml"/><Relationship Id="rId15" Type="http://schemas.openxmlformats.org/officeDocument/2006/relationships/footer" Target="footer4.xml"/><Relationship Id="rId16" Type="http://schemas.openxmlformats.org/officeDocument/2006/relationships/footer" Target="footer5.xml"/><Relationship Id="rId17" Type="http://schemas.openxmlformats.org/officeDocument/2006/relationships/header" Target="header4.xml"/><Relationship Id="rId18" Type="http://schemas.openxmlformats.org/officeDocument/2006/relationships/header" Target="header5.xml"/><Relationship Id="rId19" Type="http://schemas.openxmlformats.org/officeDocument/2006/relationships/footer" Target="footer6.xml"/><Relationship Id="rId20" Type="http://schemas.openxmlformats.org/officeDocument/2006/relationships/footer" Target="footer7.xml"/><Relationship Id="rId21" Type="http://schemas.openxmlformats.org/officeDocument/2006/relationships/footnotes" Target="footnotes.xml"/><Relationship Id="rId22" Type="http://schemas.openxmlformats.org/officeDocument/2006/relationships/numbering" Target="numbering.xml"/><Relationship Id="rId23" Type="http://schemas.openxmlformats.org/officeDocument/2006/relationships/fontTable" Target="fontTable.xml"/><Relationship Id="rId24" Type="http://schemas.openxmlformats.org/officeDocument/2006/relationships/settings" Target="settings.xml"/><Relationship Id="rId25" Type="http://schemas.openxmlformats.org/officeDocument/2006/relationships/theme" Target="theme/theme1.xml"/><Relationship Id="rId26"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4DA7FA-3592-41AA-857B-D223033A6E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550</TotalTime>
  <Application>AlterOffice/3.4.0.9$Linux_X86_64 LibreOffice_project/b8daf9e823b1a5463a2f48435ddc2e8696e7d4fc</Application>
  <AppVersion>15.0000</AppVersion>
  <Pages>20</Pages>
  <Words>6667</Words>
  <Characters>47380</Characters>
  <CharactersWithSpaces>53535</CharactersWithSpaces>
  <Paragraphs>335</Paragraphs>
  <Company>ООО "Райдэн"</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2023-05-04T10:21:00Z</dcterms:created>
  <dc:creator>Света &amp; Алла (Twix)</dc:creator>
  <dc:description/>
  <dc:language>ru-RU</dc:language>
  <cp:lastModifiedBy>shipovalovaya@corp.gidroogk.com</cp:lastModifiedBy>
  <cp:lastPrinted>2017-11-07T14:48:00Z</cp:lastPrinted>
  <dcterms:modified xsi:type="dcterms:W3CDTF">2026-06-11T11:34:17Z</dcterms:modified>
  <cp:revision>68</cp:revision>
  <dc:subject/>
  <dc:title>ДОГОВОР ПОСТАВКИ</dc:title>
</cp:coreProperties>
</file>

<file path=docProps/custom.xml><?xml version="1.0" encoding="utf-8"?>
<Properties xmlns="http://schemas.openxmlformats.org/officeDocument/2006/custom-properties" xmlns:vt="http://schemas.openxmlformats.org/officeDocument/2006/docPropsVTypes"/>
</file>