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5772" w:type="dxa"/>
        <w:jc w:val="left"/>
        <w:tblInd w:w="-1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58"/>
        <w:gridCol w:w="10961"/>
        <w:gridCol w:w="3853"/>
      </w:tblGrid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- Главный инженер Воткинского филиала</w:t>
            </w:r>
          </w:p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 xml:space="preserve">АО «Гидроремонт-ВКК» 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 xml:space="preserve">Зам. главного инженера Воткинского филиала АО «Гидроремонт-ВКК» 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__________________ Э.В. Сальников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__________________ Д.И. Новиков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«_____» ______________ 2026  г.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«_____» ______________ 2022  г.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Технические требования </w:t>
      </w:r>
    </w:p>
    <w:p>
      <w:pPr>
        <w:pStyle w:val="Normal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ОКПД2: 27.90.31.110 Поставка сварочного аппарата для нужд Воткинского филиала</w:t>
      </w:r>
    </w:p>
    <w:p>
      <w:pPr>
        <w:pStyle w:val="Normal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0044-ТПИР ОНМ-2026-ГРВКК-ВотФ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сведения.</w:t>
      </w:r>
    </w:p>
    <w:p>
      <w:pPr>
        <w:pStyle w:val="ListParagraph"/>
        <w:numPr>
          <w:ilvl w:val="0"/>
          <w:numId w:val="0"/>
        </w:numPr>
        <w:ind w:left="72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  <w:bookmarkStart w:id="0" w:name="_GoBack"/>
      <w:bookmarkEnd w:id="0"/>
    </w:p>
    <w:p>
      <w:pPr>
        <w:pStyle w:val="Normal"/>
        <w:rPr/>
      </w:pPr>
      <w:r>
        <w:rPr/>
        <w:t>ОКПД2: 27.90.31.110 Поставка сварочного аппарата для нужд Воткинского филиала (далее – продукция).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1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NormalWeb"/>
        <w:spacing w:beforeAutospacing="0" w:before="0" w:afterAutospacing="0" w:after="0"/>
        <w:ind w:right="-1" w:firstLine="426"/>
        <w:jc w:val="both"/>
        <w:rPr/>
      </w:pPr>
      <w:r>
        <w:rPr/>
        <w:t>Исполнение годовой комплексной программы закупок на 2026 год для нужд Воткинского филиала АО «Гидроремонт-ВКК». Продукция предназначена для проведения сварочных работ.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left="360" w:hanging="360"/>
        <w:rPr>
          <w:b/>
        </w:rPr>
      </w:pPr>
      <w:r>
        <w:rPr>
          <w:b/>
        </w:rPr>
        <w:t>2.1.</w:t>
        <w:tab/>
        <w:t>Требования к объемам и срокам поставки.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7"/>
        <w:gridCol w:w="6690"/>
        <w:gridCol w:w="1421"/>
        <w:gridCol w:w="1273"/>
      </w:tblGrid>
      <w:tr>
        <w:trPr>
          <w:trHeight w:val="6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п/п</w:t>
              <w:tab/>
              <w:t>№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оборудования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>
        <w:trPr>
          <w:trHeight w:val="1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Синергетический сварочный инверторный полуавтомат со свидетельством НАКС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комплект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 и оказания сопутствующих услуг.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Таблица 2.1 Требования по срокам поставки продукции.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6"/>
        <w:gridCol w:w="5386"/>
        <w:gridCol w:w="1845"/>
        <w:gridCol w:w="1982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  <w:t xml:space="preserve">ОКПД2: 27.90.31.110 Поставка сварочного аппарата для нужд Воткинского филиала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 даты подписания договора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Не позднее 45 календарных дней c даты подписания договора</w:t>
            </w:r>
          </w:p>
        </w:tc>
      </w:tr>
    </w:tbl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  <w:t>2.2.</w:t>
        <w:tab/>
        <w:t>Требования к качеству продукции.</w:t>
      </w:r>
    </w:p>
    <w:p>
      <w:pPr>
        <w:pStyle w:val="Normal"/>
        <w:spacing w:lineRule="auto" w:line="360"/>
        <w:rPr>
          <w:b/>
        </w:rPr>
      </w:pPr>
      <w:bookmarkStart w:id="2" w:name="_Toc75446582"/>
      <w:r>
        <w:rPr>
          <w:b/>
        </w:rPr>
        <w:t>Таблица 2 Требования к продукции</w:t>
      </w:r>
      <w:bookmarkEnd w:id="2"/>
      <w:r>
        <w:rPr>
          <w:b/>
        </w:rPr>
        <w:t>.</w:t>
      </w:r>
    </w:p>
    <w:p>
      <w:pPr>
        <w:sect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jc w:val="both"/>
        <w:rPr/>
      </w:pPr>
      <w:r>
        <w:rPr>
          <w:b/>
        </w:rPr>
        <w:t xml:space="preserve">Наименование продукции </w:t>
      </w:r>
      <w:r>
        <w:rPr/>
        <w:t>(позиция № 1 Таблицы 1.1. «Перечень и объем закупаемой продукции»): Синергетический сварочный инверторный полуавтоматс аттестацией НАКС.</w:t>
      </w:r>
    </w:p>
    <w:tbl>
      <w:tblPr>
        <w:tblStyle w:val="a8"/>
        <w:tblW w:w="14884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2"/>
        <w:gridCol w:w="1702"/>
        <w:gridCol w:w="1418"/>
        <w:gridCol w:w="3118"/>
        <w:gridCol w:w="2834"/>
        <w:gridCol w:w="2268"/>
        <w:gridCol w:w="2551"/>
      </w:tblGrid>
      <w:tr>
        <w:trPr/>
        <w:tc>
          <w:tcPr>
            <w:tcW w:w="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312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Наименование параметра</w:t>
            </w:r>
          </w:p>
        </w:tc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Требование заказчика</w:t>
            </w:r>
          </w:p>
        </w:tc>
        <w:tc>
          <w:tcPr>
            <w:tcW w:w="51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2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31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5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en-US"/>
              </w:rPr>
            </w:pPr>
            <w:r>
              <w:rPr>
                <w:b/>
                <w:kern w:val="0"/>
                <w:lang w:val="en-US" w:bidi="ar-SA"/>
              </w:rPr>
              <w:t>6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Синергетический сварочный инверторный полуавтомат с аттестацией НАКС 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Тип сварки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MIG/MAG+MMA (Полуавтоматическая сварка стальной проволокой в среде инертного/активного защитного газа MIG-MAG, а также  ручная дуговая сварка штучным электродом MMA)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1.1.2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Напряжение питающей сети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380 В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1.1.3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Напряжение холостого хода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58 В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1.1.4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Мах диаметр проволоки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4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4"/>
                <w:lang w:val="ru-RU" w:bidi="ar-SA"/>
              </w:rPr>
              <w:t>Не менее 1,2 мм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1.1.5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Min диаметр проволоки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4"/>
                <w:lang w:val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22222"/>
                <w:spacing w:val="0"/>
                <w:kern w:val="0"/>
                <w:sz w:val="24"/>
                <w:szCs w:val="24"/>
                <w:lang w:val="ru-RU" w:bidi="ar-SA"/>
              </w:rPr>
              <w:t>Не более 0,8 мм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1.1.6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Мах скорость подачи проволоки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15 м/мин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1.1.7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Режим работы при 40° 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300 А / 35 %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1.1.8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Мах мощность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11 кВт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1.1.9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Max сварочный ток ММА/MIG-MAG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300 А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1.1.10</w:t>
            </w:r>
          </w:p>
        </w:tc>
        <w:tc>
          <w:tcPr>
            <w:tcW w:w="312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Min сварочный ток ММА/MIG-MAG</w:t>
            </w:r>
          </w:p>
        </w:tc>
        <w:tc>
          <w:tcPr>
            <w:tcW w:w="31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более 40А/45А</w:t>
            </w:r>
          </w:p>
        </w:tc>
        <w:tc>
          <w:tcPr>
            <w:tcW w:w="28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1.1.11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Охлаждение горелки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воздушное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1.1.12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Напряжение сети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380 В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1.1.13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Класс защиты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IP 21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1.1.14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Вес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более 60 кг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  <w:kern w:val="0"/>
                <w:lang w:val="ru-RU" w:bidi="ar-SA"/>
              </w:rPr>
              <w:t>1.1.15</w:t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Габариты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Не более 995х460х950 мм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Аттестация НАКС</w:t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Свидетельство НАКС об аттестации сварочного оборудования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поставки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Воткинский филиал АО «Гидроремонт-ВКК» в г.Чайковский/ ПУ в г. Пермь; 614030, Пермский край, г. Пермь, территория ПАО «РусГидро» - «Камская ГЭС».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01" w:hRule="atLeast"/>
        </w:trPr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Приемка продукции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Требования к таре и упаковке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гарантии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24 месяца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>
          <w:trHeight w:val="630" w:hRule="atLeast"/>
        </w:trPr>
        <w:tc>
          <w:tcPr>
            <w:tcW w:w="9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Комплектация: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Синергетический сварочный инверторный полуавтомат с аттестацией НАКС  – 1 шт;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9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Комплект сварочных аксессуаров: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1. Горелка MIG-24, 3 метра - 1 шт.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 Комплектом  роликов подачи с V-образной канавкой для работы со стальной проволокой 0.8/1.0 и 1.0/1.2 — 1 комплект;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3. Газовый шланг с комплектом хомутов диаметр 9мм, длина 3м —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4. Кабель 35mm2, длина 3 метра - 1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5. Зажим на массу 300А - 1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6. Комплект оборудования для ручной дуговой сварки электродом — 1 комплект.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Указание характеристик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Документы, передаваемые вместе с продукцией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Предоставляется при поставке продукции: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- Паспорт и инструкция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Свидетельство НАКС об аттестации сварочного оборудования (На синергетический сварочный инверторный полуавтомат).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экономическим параметрам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1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Соответствие стандартам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Продукция должна соответствовать требованиям стандартов производителя.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-//-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-//-</w:t>
            </w:r>
          </w:p>
        </w:tc>
      </w:tr>
      <w:tr>
        <w:trPr/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Общие требования</w:t>
            </w:r>
          </w:p>
        </w:tc>
        <w:tc>
          <w:tcPr>
            <w:tcW w:w="45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rPr>
          <w:b/>
        </w:rPr>
      </w:pPr>
      <w:r>
        <w:rPr>
          <w:b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708"/>
        <w:rPr>
          <w:b/>
        </w:rPr>
      </w:pPr>
      <w:r>
        <w:rPr>
          <w:b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Normal"/>
        <w:ind w:firstLine="708"/>
        <w:rPr>
          <w:b/>
        </w:rPr>
      </w:pPr>
      <w:r>
        <w:rPr>
          <w:b/>
        </w:rPr>
      </w:r>
    </w:p>
    <w:p>
      <w:pPr>
        <w:pStyle w:val="Normal"/>
        <w:ind w:firstLine="708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</w:t>
      </w:r>
    </w:p>
    <w:sectPr>
      <w:type w:val="nextPage"/>
      <w:pgSz w:orient="landscape" w:w="16838" w:h="11906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82289"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326e38"/>
    <w:pPr>
      <w:spacing w:before="120" w:after="0"/>
    </w:pPr>
    <w:rPr>
      <w:rFonts w:cs="Calibri Light (Заголовки)"/>
      <w:b/>
      <w:bCs/>
    </w:rPr>
  </w:style>
  <w:style w:type="paragraph" w:styleId="TOC3">
    <w:name w:val="TOC 3"/>
    <w:basedOn w:val="Normal"/>
    <w:next w:val="Normal"/>
    <w:autoRedefine/>
    <w:uiPriority w:val="39"/>
    <w:rsid w:val="00326e38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26e38"/>
    <w:pPr>
      <w:ind w:left="560" w:hanging="0"/>
    </w:pPr>
    <w:rPr>
      <w:rFonts w:cs="Calibri" w:cs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uiPriority w:val="39"/>
    <w:rsid w:val="0047700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591E-09FF-4D9B-AB2F-002549F7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AlterOffice/3.4.0.9$Linux_X86_64 LibreOffice_project/b8daf9e823b1a5463a2f48435ddc2e8696e7d4fc</Application>
  <AppVersion>15.0000</AppVersion>
  <Pages>17</Pages>
  <Words>898</Words>
  <Characters>5959</Characters>
  <CharactersWithSpaces>6668</CharactersWithSpaces>
  <Paragraphs>218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2023-06-30T05:32:00Z</dcterms:created>
  <dc:creator>Егорушкин Яков Игоревич</dc:creator>
  <dc:description/>
  <dc:language>ru-RU</dc:language>
  <cp:lastModifiedBy>korotkovatn@corp.gidroogk.com</cp:lastModifiedBy>
  <cp:lastPrinted>2023-01-11T09:05:00Z</cp:lastPrinted>
  <dcterms:modified xsi:type="dcterms:W3CDTF">2026-06-04T16:02:53Z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