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spacing w:before="0" w:after="0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-120650</wp:posOffset>
            </wp:positionH>
            <wp:positionV relativeFrom="paragraph">
              <wp:posOffset>44450</wp:posOffset>
            </wp:positionV>
            <wp:extent cx="1778635" cy="577850"/>
            <wp:effectExtent l="0" t="0" r="0" b="0"/>
            <wp:wrapTight wrapText="bothSides">
              <wp:wrapPolygon edited="0">
                <wp:start x="1375" y="0"/>
                <wp:lineTo x="-158" y="3226"/>
                <wp:lineTo x="-158" y="18778"/>
                <wp:lineTo x="2069" y="20199"/>
                <wp:lineTo x="17908" y="20199"/>
                <wp:lineTo x="21175" y="20199"/>
                <wp:lineTo x="21175" y="13111"/>
                <wp:lineTo x="15351" y="10988"/>
                <wp:lineTo x="18382" y="8176"/>
                <wp:lineTo x="18144" y="0"/>
                <wp:lineTo x="1375" y="0"/>
              </wp:wrapPolygon>
            </wp:wrapTight>
            <wp:docPr id="1" name="Рисунок 3" descr="C:\Users\portyanaya_vg\Desktop\1_Филиал Х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portyanaya_vg\Desktop\1_Филиал Х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-90170</wp:posOffset>
                </wp:positionH>
                <wp:positionV relativeFrom="page">
                  <wp:posOffset>464820</wp:posOffset>
                </wp:positionV>
                <wp:extent cx="2877820" cy="360553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40" cy="360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53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1878"/>
                              <w:gridCol w:w="758"/>
                              <w:gridCol w:w="1894"/>
                            </w:tblGrid>
                            <w:tr>
                              <w:trPr>
                                <w:trHeight w:val="1338" w:hRule="atLeas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АО «Дальневосточная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sz w:val="18"/>
                                      <w:szCs w:val="18"/>
                                    </w:rPr>
                                    <w:t>распределительная сетевая компания»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numPr>
                                      <w:ilvl w:val="0"/>
                                      <w:numId w:val="0"/>
                                    </w:numPr>
                                    <w:ind w:left="0" w:firstLine="567"/>
                                    <w:outlineLvl w:val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ФИЛИАЛ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spacing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«ХАБАРОВСКИЕ ЭЛЕКТРИЧЕСКИЕ СЕТИ»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2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ул. Промышленная,13, г. Хабаровск, </w:t>
                                  </w:r>
                                </w:p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Российская Федерация, 680009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2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Телефон/факс: (4212) 59-91-59; 27-16-77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" w:hRule="exac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FF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doc@ khab.drsk.ru;  http://www.drsk.ru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878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jc w:val="center"/>
                                    <w:rPr>
                                      <w:color w:val="C9211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C9211E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ind w:hanging="0"/>
                                    <w:rPr>
                                      <w:rFonts w:ascii="Arial" w:hAnsi="Arial" w:cs="Arial"/>
                                      <w:color w:val="C9211E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auto"/>
                                      <w:sz w:val="16"/>
                                    </w:rPr>
                                    <w:t>04-01-18/107001-3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" w:hRule="atLeast"/>
                              </w:trPr>
                              <w:tc>
                                <w:tcPr>
                                  <w:tcW w:w="1878" w:type="dxa"/>
                                  <w:tcBorders>
                                    <w:top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4"/>
                                      <w:szCs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4530" w:type="dxa"/>
                                  <w:gridSpan w:val="3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widowControl w:val="false"/>
                                    <w:spacing w:before="120" w:after="0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6"/>
                                      <w:szCs w:val="16"/>
                                    </w:rPr>
                                    <w:t>на 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-7.1pt;margin-top:36.6pt;width:226.55pt;height:283.85pt;mso-wrap-style:none;v-text-anchor:middle;mso-position-horizontal-relative:margin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53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noVBand="0" w:val="0000" w:noHBand="0" w:lastColumn="0" w:firstColumn="0" w:lastRow="0" w:firstRow="0"/>
                      </w:tblPr>
                      <w:tblGrid>
                        <w:gridCol w:w="1878"/>
                        <w:gridCol w:w="758"/>
                        <w:gridCol w:w="1894"/>
                      </w:tblGrid>
                      <w:tr>
                        <w:trPr>
                          <w:trHeight w:val="1338" w:hRule="atLeas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 xml:space="preserve">АО «Дальневосточная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Cs/>
                                <w:sz w:val="18"/>
                                <w:szCs w:val="18"/>
                              </w:rPr>
                              <w:t>распределительная сетевая компания»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ind w:left="0" w:firstLine="567"/>
                              <w:outlineLvl w:val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ФИЛИАЛ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spacing w:before="0" w:after="0"/>
                              <w:contextualSpacing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«ХАБАРОВСКИЕ ЭЛЕКТРИЧЕСКИЕ СЕТИ»</w:t>
                            </w:r>
                          </w:p>
                        </w:tc>
                      </w:tr>
                      <w:tr>
                        <w:trPr>
                          <w:trHeight w:val="542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ул. Промышленная,13, г. Хабаровск, </w:t>
                            </w:r>
                          </w:p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Российская Федерация, 680009</w:t>
                            </w:r>
                          </w:p>
                        </w:tc>
                      </w:tr>
                      <w:tr>
                        <w:trPr>
                          <w:trHeight w:val="402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4"/>
                              <w:widowControl w:val="false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Телефон/факс: (4212) 59-91-59; 27-16-77</w:t>
                            </w:r>
                          </w:p>
                        </w:tc>
                      </w:tr>
                      <w:tr>
                        <w:trPr>
                          <w:trHeight w:val="358" w:hRule="exact"/>
                        </w:trPr>
                        <w:tc>
                          <w:tcPr>
                            <w:tcW w:w="4530" w:type="dxa"/>
                            <w:gridSpan w:val="3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doc@ khab.drsk.ru;  http://www.drsk.ru   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878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jc w:val="center"/>
                              <w:rPr>
                                <w:color w:val="C9211E"/>
                                <w:lang w:val="en-US"/>
                              </w:rPr>
                            </w:pPr>
                            <w:r>
                              <w:rPr>
                                <w:color w:val="C9211E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75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ind w:hanging="0"/>
                              <w:rPr>
                                <w:rFonts w:ascii="Arial" w:hAnsi="Arial" w:cs="Arial"/>
                                <w:color w:val="C9211E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16"/>
                              </w:rPr>
                              <w:t>04-01-18/107001-3</w:t>
                            </w:r>
                          </w:p>
                        </w:tc>
                      </w:tr>
                      <w:tr>
                        <w:trPr>
                          <w:trHeight w:val="66" w:hRule="atLeast"/>
                        </w:trPr>
                        <w:tc>
                          <w:tcPr>
                            <w:tcW w:w="1878" w:type="dxa"/>
                            <w:tcBorders>
                              <w:top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758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4"/>
                                <w:szCs w:val="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4530" w:type="dxa"/>
                            <w:gridSpan w:val="3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14"/>
                              <w:widowControl w:val="false"/>
                              <w:spacing w:before="12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на №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i/>
          <w:sz w:val="32"/>
          <w:szCs w:val="32"/>
        </w:rPr>
        <w:t xml:space="preserve">       </w:t>
      </w:r>
      <w:r>
        <w:rPr>
          <w:rFonts w:ascii="Times New Roman" w:hAnsi="Times New Roman"/>
          <w:i/>
          <w:sz w:val="26"/>
          <w:szCs w:val="26"/>
        </w:rPr>
        <w:t>Руководителям организаций</w:t>
      </w:r>
    </w:p>
    <w:p>
      <w:pPr>
        <w:pStyle w:val="14"/>
        <w:spacing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4"/>
        <w:rPr/>
      </w:pPr>
      <w:r>
        <w:rPr>
          <w:rFonts w:ascii="Times New Roman" w:hAnsi="Times New Roman"/>
          <w:sz w:val="28"/>
          <w:szCs w:val="28"/>
        </w:rPr>
        <w:t xml:space="preserve">Лот 407401-КС ПИР СМР-2026-ДРСК-ХЭС ОКПД2 71.12.13. Выполнение проектной и рабочей документации (включая инженерные изыскания) по объекту «Строительство КЛ-6 кВ от РУ-6 кВ ПС 110/35/6 кВ "Южная" ячейка новая - 0,9 км (в том числе ГНБ 0,28 км); монтаж линейного разъединителя 6 кВ на опоре - 1 шт.; монтаж коммерческого учета 6 кВ - 1 шт. </w:t>
        <w:tab/>
        <w:t>Реконструкция РУ-6 кВ ПС 110/35/6 кВ "Южная" с заменой в яч. №11 вакуумного выключателя - 1 шт. и трансформаторов тока - 3 шт. для заявителя АО СПК в рамках реализации инвестиционных проектов (P_27-ХЭС-5855, Q_27-ХЭС-5856)»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0" w:firstLine="568"/>
        <w:rPr/>
      </w:pPr>
      <w:r>
        <w:rPr>
          <w:color w:val="000000"/>
          <w:sz w:val="24"/>
          <w:szCs w:val="24"/>
        </w:rPr>
        <w:t>Филиал АО ДРСК «Хабаровские электрические сети»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– Заказчик) сообщает</w:t>
      </w:r>
      <w:r>
        <w:rPr>
          <w:sz w:val="24"/>
          <w:szCs w:val="24"/>
        </w:rPr>
        <w:t xml:space="preserve"> о проведении анализа технико-коммерческих предложений потенциальных поставщиков в рамках упрощенной закупки на право заключения договора по лоту №07401-КС ПИР СМР-2026-ДРСК-ХЭС ОКПД2 71.12.13. Выполнение проектной и рабочей документации (включая инженерные изыскания) по объекту «Строительство КЛ-6 кВ от РУ-6 кВ ПС 110/35/6 кВ "Южная" ячейка новая - 0,9 км (в том числе ГНБ 0,28 км); монтаж линейного разъединителя 6 кВ на опоре - 1 шт.; монтаж коммерческого учета 6 кВ - 1 шт. </w:t>
        <w:tab/>
        <w:t>Реконструкция РУ-6 кВ ПС 110/35/6 кВ "Южная" с заменой в яч. №11 вакуумного выключателя - 1 шт. и трансформаторов тока - 3 шт. для заявителя АО СПК в рамках реализации инвестиционных проектов (P_27-ХЭС-5855, Q_27-ХЭС-5856)».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Единственным критерием выбора контрагента, с которым впоследствии будет заключён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учёта НДС).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Начальная (максимальная) цена договора: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0" w:hanging="0"/>
        <w:rPr/>
      </w:pPr>
      <w:r>
        <w:rPr>
          <w:i/>
          <w:color w:val="auto"/>
          <w:sz w:val="24"/>
          <w:szCs w:val="24"/>
        </w:rPr>
        <w:t xml:space="preserve">2 280 698,00 руб. без учета НДС 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240"/>
        <w:ind w:left="0" w:hanging="0"/>
        <w:rPr/>
      </w:pPr>
      <w:r>
        <w:rPr>
          <w:i/>
          <w:color w:val="auto"/>
          <w:sz w:val="24"/>
          <w:szCs w:val="24"/>
        </w:rPr>
        <w:t>2 782 451,56 руб. с учетом НДС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Настоящий запрос не является публичной офертой и не влечёт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произведённого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 w:val="false"/>
        <w:numPr>
          <w:ilvl w:val="0"/>
          <w:numId w:val="2"/>
        </w:numPr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дату направления предложения;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контактные данные: номер телефона, </w:t>
      </w:r>
      <w:r>
        <w:rPr>
          <w:color w:val="auto"/>
          <w:sz w:val="24"/>
          <w:szCs w:val="24"/>
          <w:lang w:val="en-US"/>
        </w:rPr>
        <w:t>e</w:t>
      </w:r>
      <w:r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  <w:lang w:val="en-US"/>
        </w:rPr>
        <w:t>mail</w:t>
      </w:r>
      <w:r>
        <w:rPr>
          <w:color w:val="auto"/>
          <w:sz w:val="24"/>
          <w:szCs w:val="24"/>
        </w:rPr>
        <w:t>, ФИО контактного лица;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гарантии наличия у Поставщика </w:t>
      </w:r>
      <w:r>
        <w:rPr>
          <w:color w:val="auto"/>
          <w:sz w:val="24"/>
          <w:szCs w:val="24"/>
          <w:lang w:eastAsia="en-US"/>
        </w:rPr>
        <w:t>гражданской правоспособности в полном объёме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 (анкета участника, выписка из ЕГРЮЛ/ЕГРИП сроком действия не более 1 мес. с момента подачи заявки участником);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подтверждение возможности поставки требуемого объёма продукции 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color w:val="auto"/>
          <w:sz w:val="24"/>
          <w:szCs w:val="24"/>
        </w:rPr>
        <w:t>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color w:val="auto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color w:val="auto"/>
          <w:sz w:val="24"/>
          <w:szCs w:val="24"/>
        </w:rPr>
        <w:t>(см.</w:t>
      </w:r>
      <w:r>
        <w:rPr>
          <w:color w:val="auto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/>
        <w:ind w:left="0" w:firstLine="56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цену предложения в рублях (без НДС и с учётом НДС).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firstLine="568"/>
        <w:rPr/>
      </w:pPr>
      <w:r>
        <w:rPr>
          <w:color w:val="000000"/>
          <w:sz w:val="24"/>
          <w:szCs w:val="24"/>
        </w:rPr>
        <w:t xml:space="preserve">Срок подачи технико-коммерческих предложений: </w:t>
      </w:r>
      <w:r>
        <w:rPr>
          <w:color w:val="000000"/>
          <w:sz w:val="24"/>
          <w:szCs w:val="24"/>
          <w:u w:val="single"/>
        </w:rPr>
        <w:t>10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>00 (МСК),</w:t>
      </w:r>
      <w:r>
        <w:rPr>
          <w:color w:val="000000"/>
          <w:sz w:val="24"/>
          <w:szCs w:val="24"/>
        </w:rPr>
        <w:t xml:space="preserve"> 23.06.2026 г.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Технические требования;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Анкета Участника запроса цен;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Форма технико-коммерческого предложения;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Сметная документация;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/>
        <w:ind w:left="0" w:firstLine="357"/>
        <w:rPr>
          <w:sz w:val="24"/>
          <w:szCs w:val="24"/>
        </w:rPr>
      </w:pPr>
      <w:r>
        <w:rPr>
          <w:sz w:val="24"/>
          <w:szCs w:val="24"/>
        </w:rPr>
        <w:t>Требования к участнику.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/>
        <w:ind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Segoe UI 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Heading4"/>
      <w:numFmt w:val="decimal"/>
      <w:lvlText w:val="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28" w:hanging="360"/>
      </w:pPr>
      <w:rPr>
        <w:sz w:val="24"/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1288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6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00000A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qFormat/>
    <w:pPr>
      <w:keepNext w:val="true"/>
      <w:numPr>
        <w:ilvl w:val="2"/>
        <w:numId w:val="1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" w:customStyle="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3" w:customStyle="1">
    <w:name w:val="комментарий"/>
    <w:qFormat/>
    <w:rPr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4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character" w:styleId="11" w:customStyle="1">
    <w:name w:val="Пункт Знак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2" w:customStyle="1">
    <w:name w:val="Гиперссылка1"/>
    <w:qFormat/>
    <w:rPr>
      <w:color w:val="0000FF"/>
      <w:u w:val="single"/>
    </w:rPr>
  </w:style>
  <w:style w:type="character" w:styleId="Style5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3" w:customStyle="1">
    <w:name w:val="Подпункт Знак1"/>
    <w:qFormat/>
    <w:rPr>
      <w:sz w:val="28"/>
    </w:rPr>
  </w:style>
  <w:style w:type="character" w:styleId="21" w:customStyle="1">
    <w:name w:val="Пункт2 Знак"/>
    <w:qFormat/>
    <w:rPr>
      <w:b/>
      <w:sz w:val="28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nhideWhenUsed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heading111" w:customStyle="1">
    <w:name w:val="index heading111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8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/>
    </w:pPr>
    <w:rPr/>
  </w:style>
  <w:style w:type="paragraph" w:styleId="EndnoteText">
    <w:name w:val="Endnote Text"/>
    <w:basedOn w:val="Normal"/>
    <w:uiPriority w:val="99"/>
    <w:semiHidden/>
    <w:unhideWhenUsed/>
    <w:qFormat/>
    <w:pPr>
      <w:spacing w:lineRule="auto" w:line="24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8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FootnoteText">
    <w:name w:val="Footnote Text"/>
    <w:basedOn w:val="Normal"/>
    <w:semiHidden/>
    <w:qFormat/>
    <w:pPr>
      <w:spacing w:lineRule="auto" w:line="240"/>
    </w:pPr>
    <w:rPr>
      <w:sz w:val="20"/>
    </w:rPr>
  </w:style>
  <w:style w:type="paragraph" w:styleId="14" w:customStyle="1">
    <w:name w:val="Стиль Заголовок 1 + по ширине"/>
    <w:basedOn w:val="Heading1"/>
    <w:qFormat/>
    <w:pPr>
      <w:spacing w:lineRule="auto" w:line="240" w:before="480" w:after="240"/>
    </w:pPr>
    <w:rPr>
      <w:rFonts w:ascii="Arial" w:hAnsi="Arial" w:eastAsia="Times New Roman" w:cs="Times New Roman"/>
      <w:color w:val="00000A"/>
      <w:sz w:val="40"/>
      <w:szCs w:val="20"/>
    </w:rPr>
  </w:style>
  <w:style w:type="paragraph" w:styleId="BalloonText">
    <w:name w:val="Balloon Text"/>
    <w:basedOn w:val="Normal"/>
    <w:unhideWhenUsed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9" w:customStyle="1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firstLine="567"/>
      <w:contextualSpacing/>
    </w:pPr>
    <w:rPr/>
  </w:style>
  <w:style w:type="paragraph" w:styleId="Style10" w:customStyle="1">
    <w:name w:val="Пункт"/>
    <w:basedOn w:val="BodyText"/>
    <w:qFormat/>
    <w:pPr>
      <w:tabs>
        <w:tab w:val="clear" w:pos="708"/>
        <w:tab w:val="left" w:pos="1985" w:leader="none"/>
      </w:tabs>
      <w:spacing w:before="0" w:after="0"/>
      <w:ind w:left="1985" w:hanging="851"/>
    </w:pPr>
    <w:rPr/>
  </w:style>
  <w:style w:type="paragraph" w:styleId="Style11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Style12" w:customStyle="1">
    <w:name w:val="Таблица текст"/>
    <w:basedOn w:val="Normal"/>
    <w:qFormat/>
    <w:pPr>
      <w:spacing w:lineRule="auto" w:line="240" w:before="40" w:after="40"/>
      <w:ind w:left="57" w:right="57" w:hanging="0"/>
      <w:jc w:val="left"/>
    </w:pPr>
    <w:rPr>
      <w:sz w:val="24"/>
    </w:rPr>
  </w:style>
  <w:style w:type="paragraph" w:styleId="10" w:customStyle="1">
    <w:name w:val="Обычный 10 пт"/>
    <w:basedOn w:val="Normal"/>
    <w:qFormat/>
    <w:pPr>
      <w:spacing w:lineRule="auto" w:line="240"/>
    </w:pPr>
    <w:rPr>
      <w:sz w:val="20"/>
      <w:szCs w:val="22"/>
    </w:rPr>
  </w:style>
  <w:style w:type="paragraph" w:styleId="Style13" w:customStyle="1">
    <w:name w:val="Подпункт"/>
    <w:basedOn w:val="Style10"/>
    <w:qFormat/>
    <w:pPr>
      <w:tabs>
        <w:tab w:val="left" w:pos="1134" w:leader="none"/>
        <w:tab w:val="left" w:pos="1985" w:leader="none"/>
      </w:tabs>
      <w:ind w:left="1134" w:hanging="1134"/>
    </w:pPr>
    <w:rPr>
      <w:rFonts w:ascii="Calibri" w:hAnsi="Calibri" w:eastAsia="Calibri" w:cs="Arial" w:asciiTheme="minorHAnsi" w:cstheme="minorBidi" w:eastAsiaTheme="minorHAnsi" w:hAnsiTheme="minorHAnsi"/>
      <w:szCs w:val="22"/>
      <w:lang w:eastAsia="en-US"/>
    </w:rPr>
  </w:style>
  <w:style w:type="paragraph" w:styleId="22" w:customStyle="1">
    <w:name w:val="Пункт2"/>
    <w:basedOn w:val="Style10"/>
    <w:qFormat/>
    <w:pPr>
      <w:keepNext w:val="true"/>
      <w:tabs>
        <w:tab w:val="left" w:pos="1134" w:leader="none"/>
        <w:tab w:val="left" w:pos="1985" w:leader="none"/>
      </w:tabs>
      <w:spacing w:lineRule="auto" w:line="240" w:before="240" w:after="120"/>
      <w:ind w:left="1134" w:hanging="1134"/>
      <w:jc w:val="left"/>
      <w:outlineLvl w:val="2"/>
    </w:pPr>
    <w:rPr>
      <w:rFonts w:ascii="Calibri" w:hAnsi="Calibri" w:eastAsia="Calibri" w:cs="Arial" w:asciiTheme="minorHAnsi" w:cstheme="minorBidi" w:eastAsiaTheme="minorHAnsi" w:hAnsiTheme="minorHAnsi"/>
      <w:b/>
      <w:szCs w:val="22"/>
      <w:lang w:eastAsia="en-US"/>
    </w:rPr>
  </w:style>
  <w:style w:type="paragraph" w:styleId="ListNumber">
    <w:name w:val="List Number"/>
    <w:basedOn w:val="Normal"/>
    <w:qFormat/>
    <w:pPr>
      <w:spacing w:before="60" w:after="0"/>
      <w:ind w:hanging="0"/>
    </w:pPr>
    <w:rPr>
      <w:szCs w:val="24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AlterOffice/3.4.0.6$Linux_X86_64 LibreOffice_project/ad8c41dce69105450bf791d4900d64b1f82e10d0</Application>
  <AppVersion>15.0000</AppVersion>
  <Pages>2</Pages>
  <Words>656</Words>
  <Characters>4278</Characters>
  <CharactersWithSpaces>4886</CharactersWithSpaces>
  <Paragraphs>42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2023-12-12T22:09:00Z</dcterms:created>
  <dc:creator>Игнатова Татьяна Анатольевна</dc:creator>
  <dc:description/>
  <dc:language>ru-RU</dc:language>
  <cp:lastModifiedBy>mozzhuhin_dyu</cp:lastModifiedBy>
  <dcterms:modified xsi:type="dcterms:W3CDTF">2026-06-12T13:01:49Z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