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«Хабаровские электрические сети»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М.А. Сугоровскому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запрос №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04-01-18/ 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__.__.2026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eastAsia="Times New Roman" w:cs="Times New Roman"/>
          <w:b/>
          <w:bCs/>
          <w:i/>
          <w:i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lang w:eastAsia="ru-RU"/>
        </w:rPr>
        <w:t xml:space="preserve">в рамках Упрощенной закупки по лоту № 407401-КС ПИР СМР-2026-ДРСК-ХЭС ОКПД2 71.12.13. Выполнение проектной и рабочей документации (включая инженерные изыскания) по объекту «Строительство КЛ-6 кВ от РУ-6 кВ ПС 110/35/6 кВ "Южная" ячейка новая - 0,9 км (в том числе ГНБ 0,28 км); монтаж линейного разъединителя 6 кВ на опоре - 1 шт.; монтаж коммерческого учета 6 кВ - 1 шт. </w:t>
        <w:tab/>
        <w:t>Реконструкция РУ-6 кВ ПС 110/35/6 кВ "Южная" с заменой в яч. №11 вакуумного выключателя - 1 шт. и трансформаторов тока - 3 шт. для заявителя АО СПК в рамках реализации инвестиционных проектов (P_27-ХЭС-5855, Q_27-ХЭС-5856)».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(девяноста) календарных дней с даты окончания срока подачи предложений, установленным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(до 20 числа месяца, следующего за расчетным)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в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течение 150</w:t>
      </w:r>
      <w:bookmarkStart w:id="0" w:name="_GoBack"/>
      <w:bookmarkEnd w:id="0"/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 календарных дней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(приложение № 2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AlterOffice/3.4.0.6$Linux_X86_64 LibreOffice_project/ad8c41dce69105450bf791d4900d64b1f82e10d0</Application>
  <AppVersion>15.0000</AppVersion>
  <Pages>4</Pages>
  <Words>945</Words>
  <Characters>6912</Characters>
  <CharactersWithSpaces>7811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2022-06-10T06:15:00Z</dcterms:created>
  <dc:creator>Пользователь Windows</dc:creator>
  <dc:description/>
  <dc:language>ru-RU</dc:language>
  <cp:lastModifiedBy>mozzhuhin_dyu</cp:lastModifiedBy>
  <dcterms:modified xsi:type="dcterms:W3CDTF">2026-06-12T12:45:26Z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