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45.20.11.000 Оказание услуг по техническому обслуживанию и ремонту гарантийных автомобилей марки УАЗ Карачаево-Черкесского транспортного участка Южного филиала АО «ТК РусГидро»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276" w:right="707" w:gutter="0" w:header="680" w:top="737" w:footer="0" w:bottom="568"/>
          <w:pgNumType w:fmt="decimal"/>
          <w:formProt w:val="false"/>
          <w:textDirection w:val="lrTb"/>
          <w:docGrid w:type="default" w:linePitch="381" w:charSpace="0"/>
        </w:sect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№___-ТО ПРОД-2026-ТК_Южный_фил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Style19"/>
              <w:vanish w:val="false"/>
              <w:color w:val="auto"/>
            </w:rPr>
            <w:instrText xml:space="preserve"> TOC \o "1-4" \h</w:instrText>
          </w:r>
          <w:r>
            <w:rPr>
              <w:rStyle w:val="Style19"/>
              <w:vanish w:val="false"/>
              <w:color w:val="auto"/>
            </w:rPr>
            <w:fldChar w:fldCharType="separate"/>
          </w:r>
          <w:hyperlink w:anchor="_Toc142933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1.3. Цель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overflowPunct w:val="false"/>
            <w:bidi w:val="0"/>
            <w:spacing w:before="0" w:after="0"/>
            <w:ind w:left="560" w:right="0" w:hanging="0"/>
            <w:jc w:val="left"/>
            <w:rPr>
              <w:rFonts w:eastAsia="新細明體" w:cs="Arial"/>
              <w:iCs w:val="false"/>
              <w:vanish w:val="false"/>
              <w:color w:val="auto"/>
              <w:kern w:val="0"/>
              <w:sz w:val="22"/>
              <w:szCs w:val="22"/>
              <w:lang w:val="ru-RU" w:eastAsia="ru-RU" w:bidi="ar-SA"/>
            </w:rPr>
          </w:pPr>
          <w:r>
            <w:rPr>
              <w:rFonts w:eastAsia="新細明體" w:cs="Arial"/>
              <w:iCs w:val="false"/>
              <w:vanish w:val="false"/>
              <w:color w:val="auto"/>
              <w:kern w:val="0"/>
              <w:sz w:val="22"/>
              <w:szCs w:val="22"/>
              <w:lang w:val="ru-RU" w:eastAsia="ru-RU" w:bidi="ar-SA"/>
            </w:rPr>
            <w:t>1.4  Существующее положение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2">
            <w:r>
              <w:rPr>
                <w:rStyle w:val="Style19"/>
                <w:vanish w:val="false"/>
                <w:color w:val="auto"/>
              </w:rPr>
              <w:t>2. Требования к продукции</w:t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5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3">
            <w:r>
              <w:rPr>
                <w:rStyle w:val="Style19"/>
                <w:vanish w:val="false"/>
                <w:color w:val="auto"/>
              </w:rPr>
              <w:t>2.1. Требования к объемам и срокам оказания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5</w:t>
          </w:r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4">
            <w:r>
              <w:rPr>
                <w:rStyle w:val="Style19"/>
                <w:vanish w:val="false"/>
                <w:color w:val="auto"/>
              </w:rPr>
              <w:t>2.1.1.Требования к перечню и объему услуг</w:t>
              <w:tab/>
            </w:r>
          </w:hyperlink>
          <w:r>
            <w:rPr>
              <w:vanish w:val="false"/>
              <w:color w:val="auto"/>
            </w:rPr>
            <w:t>5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6">
            <w:r>
              <w:rPr>
                <w:rStyle w:val="Style19"/>
                <w:vanish w:val="false"/>
                <w:color w:val="auto"/>
              </w:rPr>
              <w:t>2.1.2.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22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7">
            <w:r>
              <w:rPr>
                <w:rStyle w:val="Style19"/>
                <w:vanish w:val="false"/>
                <w:color w:val="auto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22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8">
            <w:r>
              <w:rPr>
                <w:rStyle w:val="Style19"/>
                <w:vanish w:val="false"/>
                <w:color w:val="auto"/>
              </w:rPr>
              <w:t>2.2. Требования к качеству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23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9">
            <w:r>
              <w:rPr>
                <w:rStyle w:val="Style19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19"/>
                <w:color w:val="auto"/>
                <w:kern w:val="2"/>
                <w:lang w:eastAsia="x-none"/>
              </w:rPr>
              <w:t>4</w:t>
            </w:r>
            <w:r>
              <w:rPr>
                <w:rStyle w:val="Style19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19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rStyle w:val="Style19"/>
                <w:vanish w:val="false"/>
                <w:color w:val="auto"/>
              </w:rPr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23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50">
            <w:r>
              <w:rPr>
                <w:rStyle w:val="Style19"/>
                <w:vanish w:val="false"/>
                <w:color w:val="auto"/>
              </w:rPr>
              <w:t>3.Требования к документации по ценообразованию на этапе закупки</w:t>
              <w:tab/>
              <w:t>2</w:t>
            </w:r>
          </w:hyperlink>
          <w:r>
            <w:rPr>
              <w:rFonts w:eastAsia="新細明體" w:cs="Arial"/>
              <w:b/>
              <w:bCs/>
              <w:vanish w:val="false"/>
              <w:color w:val="auto"/>
              <w:sz w:val="24"/>
              <w:szCs w:val="24"/>
            </w:rPr>
            <w:t>4</w:t>
          </w:r>
          <w:r>
            <w:rPr>
              <w:sz w:val="24"/>
              <w:b/>
              <w:szCs w:val="24"/>
              <w:bCs/>
              <w:vanish w:val="false"/>
              <w:rFonts w:eastAsia="新細明體" w:cs="Arial"/>
              <w:color w:val="auto"/>
            </w:rPr>
            <w:fldChar w:fldCharType="end"/>
          </w:r>
        </w:p>
      </w:sdtContent>
    </w:sdt>
    <w:p>
      <w:pPr>
        <w:pStyle w:val="TOC4"/>
        <w:ind w:left="0" w:right="0" w:hanging="0"/>
        <w:rPr>
          <w:rFonts w:ascii="Calibri" w:hAnsi="Calibri" w:eastAsia="新細明體" w:cs="Arial"/>
          <w:iCs w:val="false"/>
          <w:color w:val="auto"/>
          <w:sz w:val="22"/>
          <w:szCs w:val="22"/>
        </w:rPr>
      </w:pPr>
      <w:r>
        <w:rPr>
          <w:rFonts w:eastAsia="新細明體" w:cs="Arial" w:ascii="Calibri" w:hAnsi="Calibri"/>
          <w:iCs w:val="false"/>
          <w:color w:val="auto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righ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right="0" w:hanging="0"/>
        <w:jc w:val="center"/>
        <w:rPr>
          <w:caps/>
        </w:rPr>
      </w:pPr>
      <w:bookmarkStart w:id="0" w:name="_Toc142933436"/>
      <w:r>
        <w:rPr/>
        <w:t>1. Общие сведения</w:t>
      </w:r>
      <w:bookmarkEnd w:id="0"/>
    </w:p>
    <w:p>
      <w:pPr>
        <w:pStyle w:val="Heading4"/>
        <w:numPr>
          <w:ilvl w:val="0"/>
          <w:numId w:val="0"/>
        </w:numPr>
        <w:ind w:left="1224" w:right="0" w:hanging="1224"/>
        <w:rPr>
          <w:b/>
          <w:i w:val="false"/>
          <w:i w:val="false"/>
          <w:shd w:fill="auto" w:val="clear"/>
        </w:rPr>
      </w:pPr>
      <w:bookmarkStart w:id="1" w:name="_Toc46743505"/>
      <w:bookmarkStart w:id="2" w:name="_Toc142933437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1224" w:right="0" w:hanging="1224"/>
        <w:rPr/>
      </w:pPr>
      <w:bookmarkStart w:id="3" w:name="_Toc142933438"/>
      <w:r>
        <w:rPr/>
        <w:t>1.2. 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</w:rPr>
        <w:t>ОКПД2 45.20.11.000. Оказание услуг по техническому обслуживанию и ремонту гарантийных автомобилей марки УАЗ Карачаево-Черкесского транспортного участка Южного филиала АО «ТК РусГидро»</w:t>
      </w:r>
    </w:p>
    <w:p>
      <w:pPr>
        <w:pStyle w:val="Heading4"/>
        <w:numPr>
          <w:ilvl w:val="0"/>
          <w:numId w:val="0"/>
        </w:numPr>
        <w:ind w:left="431" w:right="0" w:hanging="431"/>
        <w:rPr/>
      </w:pPr>
      <w:bookmarkStart w:id="4" w:name="_Toc142933439"/>
      <w:bookmarkStart w:id="5" w:name="_Toc46743507"/>
      <w:r>
        <w:rPr/>
        <w:t xml:space="preserve">1.3. Цель </w:t>
      </w:r>
      <w:bookmarkEnd w:id="5"/>
      <w:r>
        <w:rPr/>
        <w:t>оказания услуг</w:t>
      </w:r>
      <w:bookmarkEnd w:id="4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автотранспорта Карачаево-Черкесского транспортного участка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431" w:right="0" w:hanging="431"/>
        <w:rPr/>
      </w:pPr>
      <w:r>
        <w:rPr/>
        <w:t>1.4. Существующее положение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6" w:name="_Toc142933440"/>
      <w:r>
        <w:rPr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94"/>
        <w:gridCol w:w="2549"/>
        <w:gridCol w:w="2540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  <w:b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19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Оказание услуг по техническому обслуживанию и ремонту гарнтийных автомобилей Карачаево-Черкесского транспортного участка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Карачаево-Черкесская Республика, Карачаевский район, п.Правокубанский.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UAZ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Pickup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 691 СВ 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2026 г.в. двиг ЗМЗ 409051  2.7л. бензин.</w:t>
            </w:r>
          </w:p>
        </w:tc>
      </w:tr>
      <w:tr>
        <w:trPr>
          <w:trHeight w:val="541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right="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UAZ</w:t>
            </w:r>
            <w:r>
              <w:rPr>
                <w:sz w:val="24"/>
                <w:szCs w:val="24"/>
              </w:rPr>
              <w:t xml:space="preserve"> Pickup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 744 СВ 126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2026 г.в. двиг ЗМЗ 409051  2.7л. бензин.</w:t>
            </w:r>
          </w:p>
        </w:tc>
      </w:tr>
    </w:tbl>
    <w:p>
      <w:pPr>
        <w:pStyle w:val="Heading4"/>
        <w:numPr>
          <w:ilvl w:val="0"/>
          <w:numId w:val="0"/>
        </w:numPr>
        <w:ind w:left="0" w:right="0" w:hanging="0"/>
        <w:rPr/>
      </w:pPr>
      <w:bookmarkStart w:id="7" w:name="_Toc142933441"/>
      <w:r>
        <w:rPr/>
        <w:t xml:space="preserve">1.5. 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7"/>
    </w:p>
    <w:p>
      <w:pPr>
        <w:pStyle w:val="ListParagraph"/>
        <w:ind w:left="0" w:right="0" w:hanging="0"/>
        <w:jc w:val="both"/>
        <w:rPr/>
      </w:pPr>
      <w:r>
        <w:rPr/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>
      <w:pPr>
        <w:pStyle w:val="ListParagraph"/>
        <w:ind w:left="900" w:right="0" w:hanging="0"/>
        <w:jc w:val="both"/>
        <w:rPr/>
      </w:pPr>
      <w:r>
        <w:rPr/>
        <w:t>- ремонт подвески и ходовой части ТС (при необходимости);</w:t>
      </w:r>
    </w:p>
    <w:p>
      <w:pPr>
        <w:pStyle w:val="ListParagraph"/>
        <w:ind w:left="900" w:right="0" w:hanging="0"/>
        <w:jc w:val="both"/>
        <w:rPr/>
      </w:pPr>
      <w:r>
        <w:rPr/>
        <w:t>- ремонт агрегатов ТС и их замена (при необходимости);</w:t>
      </w:r>
    </w:p>
    <w:p>
      <w:pPr>
        <w:pStyle w:val="ListParagraph"/>
        <w:ind w:left="900" w:right="0" w:hanging="0"/>
        <w:jc w:val="both"/>
        <w:rPr/>
      </w:pPr>
      <w:r>
        <w:rPr/>
        <w:t>- электромонтажные работы (при необходимости);</w:t>
      </w:r>
    </w:p>
    <w:p>
      <w:pPr>
        <w:pStyle w:val="ListParagraph"/>
        <w:ind w:left="900" w:right="0" w:hanging="0"/>
        <w:jc w:val="both"/>
        <w:rPr/>
      </w:pPr>
      <w:r>
        <w:rPr/>
        <w:t>- кузовные и малярные работы (при необходимости);</w:t>
      </w:r>
    </w:p>
    <w:p>
      <w:pPr>
        <w:pStyle w:val="Normal"/>
        <w:ind w:left="42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- замена стекол (при необходимости).</w:t>
      </w:r>
    </w:p>
    <w:p>
      <w:pPr>
        <w:pStyle w:val="ListParagraph"/>
        <w:ind w:left="0" w:right="0" w:hanging="0"/>
        <w:jc w:val="both"/>
        <w:rPr/>
      </w:pPr>
      <w:r>
        <w:rPr/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357" w:right="0" w:hanging="357"/>
        <w:jc w:val="center"/>
        <w:rPr>
          <w:caps/>
        </w:rPr>
      </w:pPr>
      <w:bookmarkStart w:id="9" w:name="_Toc142933442"/>
      <w:r>
        <w:rPr/>
        <w:t>2. Требования к продукции</w:t>
      </w:r>
      <w:bookmarkEnd w:id="9"/>
    </w:p>
    <w:p>
      <w:pPr>
        <w:pStyle w:val="Heading4"/>
        <w:numPr>
          <w:ilvl w:val="0"/>
          <w:numId w:val="0"/>
        </w:numPr>
        <w:ind w:left="1224" w:right="0" w:hanging="1224"/>
        <w:rPr/>
      </w:pPr>
      <w:bookmarkStart w:id="10" w:name="_Toc142933443"/>
      <w:r>
        <w:rPr/>
        <w:t>2.1. Требования к объемам и срокам оказания услуг</w:t>
      </w:r>
      <w:bookmarkEnd w:id="10"/>
    </w:p>
    <w:p>
      <w:pPr>
        <w:pStyle w:val="Heading3"/>
        <w:numPr>
          <w:ilvl w:val="0"/>
          <w:numId w:val="0"/>
        </w:numPr>
        <w:ind w:left="0" w:right="0" w:hanging="0"/>
        <w:rPr/>
      </w:pPr>
      <w:bookmarkStart w:id="11" w:name="_Toc142933444"/>
      <w:r>
        <w:rPr/>
        <w:t>2.1.1.Требования к перечню и объему услуг</w:t>
      </w:r>
      <w:bookmarkEnd w:id="11"/>
    </w:p>
    <w:p>
      <w:pPr>
        <w:pStyle w:val="Heading1"/>
        <w:numPr>
          <w:ilvl w:val="0"/>
          <w:numId w:val="0"/>
        </w:numPr>
        <w:ind w:left="0" w:right="0" w:hanging="0"/>
        <w:rPr>
          <w:sz w:val="22"/>
          <w:szCs w:val="22"/>
        </w:rPr>
      </w:pPr>
      <w:bookmarkStart w:id="12" w:name="_Toc142933447"/>
      <w:bookmarkStart w:id="13" w:name="_Toc51339695"/>
      <w:r>
        <w:rPr>
          <w:sz w:val="22"/>
          <w:szCs w:val="22"/>
        </w:rPr>
        <w:t xml:space="preserve">Таблица 2. Перечень </w:t>
      </w:r>
      <w:bookmarkEnd w:id="13"/>
      <w:r>
        <w:rPr>
          <w:sz w:val="22"/>
          <w:szCs w:val="22"/>
        </w:rPr>
        <w:t>и объем оказываемых услуг</w:t>
      </w:r>
      <w:bookmarkEnd w:id="12"/>
    </w:p>
    <w:tbl>
      <w:tblPr>
        <w:tblW w:w="991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076"/>
        <w:gridCol w:w="1398"/>
        <w:gridCol w:w="1549"/>
      </w:tblGrid>
      <w:tr>
        <w:trPr>
          <w:trHeight w:val="813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UAZ </w:t>
            </w:r>
            <w:r>
              <w:rPr>
                <w:sz w:val="24"/>
                <w:szCs w:val="24"/>
              </w:rPr>
              <w:t xml:space="preserve">Pickup </w:t>
            </w:r>
            <w:r>
              <w:rPr>
                <w:color w:val="000000"/>
                <w:sz w:val="24"/>
                <w:szCs w:val="24"/>
                <w:lang w:val="en-US"/>
              </w:rPr>
              <w:t>О 691 СВ 126 ТО 1 – 15000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691 СВ 126 ТО 2 – 30000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691 СВ 126 ТО 3 – 45000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691 СВ 126 ТО 4 – 60000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691 СВ 126 ТО 5 – 75000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691 СВ 126 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UAZ </w:t>
            </w:r>
            <w:r>
              <w:rPr>
                <w:sz w:val="24"/>
                <w:szCs w:val="24"/>
              </w:rPr>
              <w:t xml:space="preserve">Pickup </w:t>
            </w:r>
            <w:r>
              <w:rPr>
                <w:color w:val="000000"/>
                <w:sz w:val="24"/>
                <w:szCs w:val="24"/>
                <w:lang w:val="en-US"/>
              </w:rPr>
              <w:t>О 744 СВ 126 ТО 1 – 15000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744 СВ 126 ТО 2 – 30000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744 СВ 126 ТО 3 – 45000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744 СВ 126 ТО 4 – 60000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744 СВ 126 ТО 5 – 75000 км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УАЗ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UAZ </w:t>
            </w:r>
            <w:r>
              <w:rPr>
                <w:color w:val="000000"/>
                <w:sz w:val="24"/>
                <w:szCs w:val="24"/>
                <w:lang w:val="en-US"/>
              </w:rPr>
              <w:t>Pickup О 744 СВ 126 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0"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0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0"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426" w:right="0" w:hanging="0"/>
        <w:rPr>
          <w:b/>
          <w:lang w:val="en-US"/>
        </w:rPr>
      </w:pPr>
      <w:bookmarkStart w:id="14" w:name="_Toc75446579"/>
      <w:bookmarkStart w:id="15" w:name="_Toc50125131"/>
      <w:bookmarkEnd w:id="14"/>
      <w:bookmarkEnd w:id="15"/>
      <w:r>
        <w:rPr>
          <w:rFonts w:eastAsia="Calibri"/>
          <w:b/>
          <w:sz w:val="24"/>
          <w:szCs w:val="24"/>
          <w:lang w:val="en-US"/>
        </w:rPr>
        <w:t>2</w:t>
      </w:r>
      <w:r>
        <w:rPr>
          <w:rFonts w:eastAsia="Calibri"/>
          <w:b/>
          <w:sz w:val="24"/>
          <w:szCs w:val="24"/>
        </w:rPr>
        <w:t xml:space="preserve">.1.1. </w:t>
      </w:r>
      <w:r>
        <w:rPr>
          <w:b/>
          <w:sz w:val="24"/>
          <w:szCs w:val="24"/>
        </w:rPr>
        <w:t xml:space="preserve">Автомобилей марки </w:t>
      </w:r>
      <w:r>
        <w:rPr>
          <w:b/>
          <w:lang w:val="en-US"/>
        </w:rPr>
        <w:t>УАЗ</w:t>
      </w:r>
    </w:p>
    <w:p>
      <w:pPr>
        <w:pStyle w:val="Normal"/>
        <w:ind w:left="-426" w:right="0" w:hanging="0"/>
        <w:rPr>
          <w:b/>
          <w:lang w:val="en-US"/>
        </w:rPr>
      </w:pPr>
      <w:r>
        <w:rPr>
          <w:b/>
          <w:lang w:val="en-US"/>
        </w:rPr>
      </w:r>
    </w:p>
    <w:tbl>
      <w:tblPr>
        <w:tblW w:w="10227" w:type="dxa"/>
        <w:jc w:val="left"/>
        <w:tblInd w:w="-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476"/>
        <w:gridCol w:w="2891"/>
        <w:gridCol w:w="846"/>
        <w:gridCol w:w="752"/>
        <w:gridCol w:w="735"/>
        <w:gridCol w:w="735"/>
        <w:gridCol w:w="739"/>
        <w:gridCol w:w="735"/>
        <w:gridCol w:w="793"/>
        <w:gridCol w:w="789"/>
        <w:gridCol w:w="734"/>
      </w:tblGrid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Наименование работ</w:t>
            </w:r>
            <w:bookmarkStart w:id="16" w:name="_GoBack"/>
            <w:bookmarkEnd w:id="16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-   15000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- </w:t>
            </w:r>
            <w:r>
              <w:rPr>
                <w:b w:val="false"/>
                <w:bCs w:val="false"/>
                <w:sz w:val="20"/>
                <w:szCs w:val="20"/>
              </w:rPr>
              <w:t>30000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- 45000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-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6</w:t>
            </w:r>
            <w:r>
              <w:rPr>
                <w:b w:val="false"/>
                <w:bCs w:val="false"/>
                <w:sz w:val="20"/>
                <w:szCs w:val="20"/>
              </w:rPr>
              <w:t>0000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- 75000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- </w:t>
            </w:r>
            <w:r>
              <w:rPr>
                <w:b w:val="false"/>
                <w:bCs w:val="false"/>
                <w:sz w:val="20"/>
                <w:szCs w:val="20"/>
              </w:rPr>
              <w:t>90000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-</w:t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10</w:t>
            </w:r>
            <w:r>
              <w:rPr>
                <w:b w:val="false"/>
                <w:bCs w:val="false"/>
                <w:sz w:val="20"/>
                <w:szCs w:val="20"/>
              </w:rPr>
              <w:t>5</w:t>
            </w:r>
            <w:r>
              <w:rPr>
                <w:b w:val="false"/>
                <w:bCs w:val="false"/>
                <w:sz w:val="20"/>
                <w:szCs w:val="20"/>
                <w:lang w:val="en-GB"/>
              </w:rPr>
              <w:t>00</w:t>
            </w:r>
            <w:r>
              <w:rPr>
                <w:b w:val="false"/>
                <w:bCs w:val="false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-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120000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 xml:space="preserve">ТО </w:t>
            </w:r>
          </w:p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  <w:lang w:val="en-GB"/>
              </w:rPr>
              <w:t>-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680" w:hanging="6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135000</w:t>
            </w:r>
          </w:p>
        </w:tc>
      </w:tr>
      <w:tr>
        <w:trPr>
          <w:trHeight w:val="179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Двигатель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герметичность систем охлаждения, питания, смазки, улавливания паров топлива, выпуска отработавших газов;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состояние ремней привода агрегатов – при необходимости заменить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Провести диагностику электронной системы управления двигателем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Моторное масло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</w:tr>
      <w:tr>
        <w:trPr>
          <w:trHeight w:val="343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Масляный фильтр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Прокладка сливного болта масляного поддона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Антифриз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Воздушный фильтр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Свеча зажигания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Фильтр тонкой очистки топлива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Ремень привода насоса гидроусилителя руля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Ремень поликлиновой и ролик в приводе агрегатов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Натяжитель автоматический ремня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749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Трансмиссия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Состояние и герметичность гидропривода сцепления, коробки передач, заднего моста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Крепление картера сцепления, коробки передач, карданной передачи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Очистить сапуны коробки передач, заднего моста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Проверить уровень масла в коробке передач, заднем мосту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Трансмиссионное масло для редуктора заднего моста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Трансмиссионное масло коробки передач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7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Ходовая часть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состояние защитных чехлов шаровых шарниров подвески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наличие люфта в подшипниках ступиц задних колёс и, при необходимости, отрегулировать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состояние шин и колес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пальцев шаровых шарниров подвески и корпус шаровых шарниров верхних рычагов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болтов резинометаллических шарниров рессор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амортизаторов, стремянок рессор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7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Рулевое управление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состояние защитных колпаков шарниров рулевых тяг; суммарный люфт рулевого колеса и при необходимости заменить узлы и детали, достигшие предельного состояния;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соединения вилок карданных шарниров с рулевыми валами и при необходимости подтянуть детали крепления вилок; люфт шарниров рулевых тяг;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соединения пальцев шарниров рулевых тяг с рычагами поворотных стоек и при необходимости подтянуть соединения;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затяжку верхнего болта крепления картера рулевого механизма к подрамнику и при необходимости подтянуть соединение;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затяжку гаек крепления скобы рулевого механизма к подрамнику и при необходимости подтянуть соединение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18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Тормозные системы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герметичность вакуумного привода тормозов; состояние и герметичность гидропривода рабочих тормозов;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состояние тормозных колодок и дисков передних тормозных механизмов;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состояние тормозных накладок и барабанов задних тормозных механизмов;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состояние защитных чехлов колёсных цилиндров и скоб; состояние тросов привода стояночной тормозной системы и их оболочек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ход рычага стояночного тормоза и, при необходимости, отрегулировать привод стояночной тормозной системы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Тормозная жидкость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очистить и смазать клеммы батареи и наконечники проводов, проверить крепление батареи, надёжность контакта наконечников проводов с клеммами батареи, проверить уровень электролита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Ремень генератора/насоса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spacing w:lineRule="atLeast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>
      <w:pPr>
        <w:pStyle w:val="Normal"/>
        <w:ind w:left="-426" w:right="0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За пределами пробега 100 т. км проводить обслуживание автомобиля в соответствии с графиком технического обслуживания.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СЕЗОННОЕ ТЕХНИЧЕСКОЕ ОБСЛУЖИВАНИЕ</w:t>
      </w:r>
    </w:p>
    <w:p>
      <w:pPr>
        <w:pStyle w:val="Normal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Один раз в год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Проверить плотность охлаждающей жидкости.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Проверить плотность электролита.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Проверить состояние щёточного узла генератора.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Смазать выключатель замка двери.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Смазать замок капота.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Проверить состояние лакокрасочного покрытия и антикоррозионной обработки кузова (кабины) и, при необходимости, восстановить покрытие.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Проверить крепление кузова-фургона к раме.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8. Проверить крепление подножки (противоподкатного бруса).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9. Проверить крепление заднего поручня-ручки.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 Проверить состояние резинового уплотнительного профиля.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11. Проверить работу системы внутреннего освещения кузова, фонарей подсветки номерного знака. 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 Проверить работу запорных механизмов и навесок дверей.</w:t>
      </w:r>
    </w:p>
    <w:p>
      <w:pPr>
        <w:pStyle w:val="Normal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Один раз в два года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Заменить тормозную жидкость в гидроприводе рабочих тормозов и сцепления, после чего произвести затяжку крышки бачка рекомендованным моментом. 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Один раз в три года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sz w:val="24"/>
          <w:szCs w:val="24"/>
        </w:rPr>
        <w:t>1. Заменить охлаждающую жидкость.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Один раз в пять лет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sz w:val="24"/>
          <w:szCs w:val="24"/>
        </w:rPr>
        <w:t>1. Заменить масло в системе ГУР.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2.1.2. Требования к 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рокам оказания услуг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17" w:name="_Toc142933445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176"/>
        <w:gridCol w:w="2975"/>
        <w:gridCol w:w="2836"/>
      </w:tblGrid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Оказание услуг по техническому обслуживанию и ремонту легковых автомобилей Карачаево-Черкесского транспортного участка Южного филиала АО "ТК РусГидро"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 г.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(пяти) дней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(двух) дней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4"/>
        <w:numPr>
          <w:ilvl w:val="0"/>
          <w:numId w:val="0"/>
        </w:numPr>
        <w:ind w:left="1224" w:right="0" w:hanging="1224"/>
        <w:rPr/>
      </w:pPr>
      <w:bookmarkStart w:id="18" w:name="_Toc142933448"/>
      <w:bookmarkStart w:id="19" w:name="_Toc46743511"/>
      <w:bookmarkStart w:id="20" w:name="_Toc51339698"/>
      <w:bookmarkEnd w:id="20"/>
      <w:r>
        <w:rPr/>
        <w:t xml:space="preserve">2.2. Требования к </w:t>
      </w:r>
      <w:bookmarkEnd w:id="19"/>
      <w:r>
        <w:rPr/>
        <w:t xml:space="preserve">качеству </w:t>
      </w:r>
      <w:bookmarkEnd w:id="18"/>
      <w:r>
        <w:rPr/>
        <w:t>продукции</w:t>
      </w:r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righ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1" w:name="_Toc142933449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 xml:space="preserve">качеству </w:t>
      </w:r>
      <w:bookmarkEnd w:id="21"/>
      <w:r>
        <w:rPr>
          <w:b/>
          <w:bCs/>
          <w:kern w:val="2"/>
          <w:sz w:val="24"/>
          <w:szCs w:val="24"/>
          <w:lang w:eastAsia="x-none"/>
        </w:rPr>
        <w:t xml:space="preserve">продукции </w:t>
      </w:r>
    </w:p>
    <w:tbl>
      <w:tblPr>
        <w:tblW w:w="10200" w:type="dxa"/>
        <w:jc w:val="left"/>
        <w:tblInd w:w="-4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38"/>
        <w:gridCol w:w="2487"/>
        <w:gridCol w:w="1874"/>
        <w:gridCol w:w="1814"/>
        <w:gridCol w:w="1811"/>
      </w:tblGrid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Предложения участника по характеристикам и параметрам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Согласие с требованием/ указание характеристик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2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2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оказанию услуг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Срок выполнения работ включает в себя срок доставки запасных частей, используемых при выполнении работ. Исполнитель должен принимать автомобиль Заказчика в сроки не позднее 1 дня с момента обращения Заказчика.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75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Требования к запасным частям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Запасные части, расходные материалы, при выполнении ТО и ТР, должны  быть новыми, соответствовать действующим ГОСТам, ТУ, сертификатам качества, и другим документам, содержащим обязательные, либо обычно применяемые требования, предъявляемые к соответствующим товарам,  иной нормативно-технической документации, подтверждающей качество продукции. Запрещается использование контрофактных, поддельных восстановленных или бввших в употреблении деталей, не имеющих сертификатов соответствия,  без маркировки и в поврежденной упаковке.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Требования к моторным маслам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Моторные масла должны соответствовать спецификациям API/ACEA и вязкости по SAE, указанным в руководстве по эксплуатации автомобиля. Запрещается применение масел с более низкими эксплуатационными характеристиками.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5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Услуги должны выполняться Исполнителем в соответствии с нормативно-техническими требованиями заводов изготовителей, </w:t>
            </w: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в соответствии с действующимим ГОСТами, регламентирующими данный вид деятельности.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ind w:left="357" w:right="0" w:hanging="0"/>
        <w:rPr>
          <w:sz w:val="24"/>
          <w:szCs w:val="24"/>
        </w:rPr>
      </w:pPr>
      <w:r>
        <w:rPr>
          <w:sz w:val="24"/>
          <w:szCs w:val="24"/>
        </w:rPr>
      </w:r>
      <w:bookmarkStart w:id="23" w:name="_Toc50125131_Копия_1"/>
      <w:bookmarkStart w:id="24" w:name="_Toc50125131_Копия_1"/>
      <w:bookmarkEnd w:id="24"/>
    </w:p>
    <w:p>
      <w:pPr>
        <w:pStyle w:val="Heading1"/>
        <w:numPr>
          <w:ilvl w:val="0"/>
          <w:numId w:val="0"/>
        </w:numPr>
        <w:ind w:left="357" w:right="0" w:hanging="0"/>
        <w:rPr>
          <w:sz w:val="24"/>
          <w:szCs w:val="24"/>
        </w:rPr>
      </w:pPr>
      <w:bookmarkStart w:id="25" w:name="_Toc142933450"/>
      <w:bookmarkStart w:id="26" w:name="_Toc53395937"/>
      <w:bookmarkStart w:id="27" w:name="_Toc53393312"/>
      <w:bookmarkStart w:id="28" w:name="_Toc51339698_Копия_1"/>
      <w:bookmarkEnd w:id="28"/>
      <w:r>
        <w:rPr>
          <w:sz w:val="24"/>
          <w:szCs w:val="24"/>
        </w:rPr>
        <w:t>3.Требования к документации по ценообразованию</w:t>
      </w:r>
      <w:bookmarkEnd w:id="26"/>
      <w:bookmarkEnd w:id="27"/>
      <w:r>
        <w:rPr>
          <w:sz w:val="24"/>
          <w:szCs w:val="24"/>
        </w:rPr>
        <w:t xml:space="preserve"> на этапе закупки</w:t>
      </w:r>
      <w:bookmarkEnd w:id="25"/>
    </w:p>
    <w:p>
      <w:pPr>
        <w:pStyle w:val="Heading4"/>
        <w:numPr>
          <w:ilvl w:val="0"/>
          <w:numId w:val="0"/>
        </w:numPr>
        <w:ind w:left="0" w:right="0" w:hanging="0"/>
        <w:jc w:val="both"/>
        <w:rPr>
          <w:b w:val="false"/>
        </w:rPr>
      </w:pPr>
      <w:bookmarkStart w:id="29" w:name="_Toc135932812"/>
      <w:bookmarkStart w:id="30" w:name="_Toc142933451"/>
      <w:bookmarkStart w:id="31" w:name="_Toc142635868"/>
      <w:bookmarkStart w:id="32" w:name="_Toc142635738"/>
      <w:bookmarkStart w:id="33" w:name="_Toc142635591"/>
      <w:bookmarkStart w:id="34" w:name="_Toc142635471"/>
      <w:bookmarkStart w:id="35" w:name="_Toc135933382"/>
      <w:r>
        <w:rPr>
          <w:b w:val="false"/>
        </w:rPr>
        <w:t xml:space="preserve">3.1.  В обосновании стоимости своей заявки Участник предоставляет Коммерческое предложение по форме (с учетом прилагаемой к ней инструкции по заполнению), </w:t>
      </w:r>
      <w:bookmarkEnd w:id="29"/>
      <w:bookmarkEnd w:id="30"/>
      <w:bookmarkEnd w:id="31"/>
      <w:bookmarkEnd w:id="32"/>
      <w:bookmarkEnd w:id="33"/>
      <w:bookmarkEnd w:id="34"/>
      <w:bookmarkEnd w:id="35"/>
      <w:r>
        <w:rPr>
          <w:b w:val="false"/>
        </w:rPr>
        <w:t>приведенной Документации о закупке.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КЧ ТУ</w:t>
        <w:tab/>
        <w:t xml:space="preserve">          </w:t>
        <w:tab/>
        <w:tab/>
        <w:tab/>
        <w:tab/>
        <w:tab/>
        <w:t xml:space="preserve">         </w:t>
        <w:tab/>
        <w:t xml:space="preserve">                  </w:t>
      </w:r>
      <w:r>
        <w:rPr>
          <w:color w:val="000000"/>
          <w:sz w:val="24"/>
          <w:szCs w:val="24"/>
        </w:rPr>
        <w:t>Балановский В.Д.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>
      <w:pPr>
        <w:pStyle w:val="Normal"/>
        <w:ind w:left="0"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sectPr>
      <w:headerReference w:type="default" r:id="rId3"/>
      <w:headerReference w:type="first" r:id="rId4"/>
      <w:type w:val="nextPage"/>
      <w:pgSz w:w="11906" w:h="16838"/>
      <w:pgMar w:left="1276" w:right="707" w:gutter="0" w:header="680" w:top="737" w:footer="0" w:bottom="908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ind w:left="1134" w:right="0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  <w:numId w:val="3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6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4"/>
    <w:qFormat/>
    <w:rPr>
      <w:sz w:val="26"/>
      <w:szCs w:val="26"/>
    </w:rPr>
  </w:style>
  <w:style w:type="character" w:styleId="3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Style14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15">
    <w:name w:val="Текст Знак"/>
    <w:basedOn w:val="DefaultParagraphFont"/>
    <w:link w:val="PlainText"/>
    <w:qFormat/>
    <w:rPr>
      <w:rFonts w:ascii="Consolas" w:hAnsi="Consolas" w:eastAsia="Calibri"/>
      <w:sz w:val="21"/>
      <w:szCs w:val="21"/>
      <w:lang w:val="en-GB" w:eastAsia="en-US"/>
    </w:rPr>
  </w:style>
  <w:style w:type="character" w:styleId="32">
    <w:name w:val="Основной текст 3 Знак"/>
    <w:basedOn w:val="DefaultParagraphFont"/>
    <w:link w:val="BodyText3"/>
    <w:qFormat/>
    <w:rPr>
      <w:sz w:val="16"/>
      <w:szCs w:val="16"/>
    </w:rPr>
  </w:style>
  <w:style w:type="character" w:styleId="Style16">
    <w:name w:val="Тема примечания Знак"/>
    <w:basedOn w:val="Style11"/>
    <w:link w:val="Annotationsubject"/>
    <w:qFormat/>
    <w:rPr>
      <w:b/>
      <w:bCs/>
    </w:rPr>
  </w:style>
  <w:style w:type="character" w:styleId="33">
    <w:name w:val="Основной текст с отступом 3 Знак"/>
    <w:basedOn w:val="DefaultParagraphFont"/>
    <w:link w:val="BodyTextIndent3"/>
    <w:qFormat/>
    <w:rPr>
      <w:sz w:val="16"/>
      <w:szCs w:val="16"/>
    </w:rPr>
  </w:style>
  <w:style w:type="character" w:styleId="Style17">
    <w:name w:val="Нижний колонтитул Знак"/>
    <w:basedOn w:val="DefaultParagraphFont"/>
    <w:qFormat/>
    <w:rPr>
      <w:sz w:val="28"/>
      <w:szCs w:val="28"/>
    </w:rPr>
  </w:style>
  <w:style w:type="character" w:styleId="Apple-style-span">
    <w:name w:val="apple-style-span"/>
    <w:qFormat/>
    <w:rPr/>
  </w:style>
  <w:style w:type="character" w:styleId="Style18">
    <w:name w:val="Заголовок Знак"/>
    <w:basedOn w:val="DefaultParagraphFont"/>
    <w:link w:val="113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Style22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3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link w:val="Style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link w:val="32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Style27">
    <w:name w:val="Раздел регламента"/>
    <w:basedOn w:val="Normal"/>
    <w:qFormat/>
    <w:pPr/>
    <w:rPr/>
  </w:style>
  <w:style w:type="paragraph" w:styleId="Style28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link w:val="Style14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ascii="Times New Roman" w:hAnsi="Times New Roman" w:cs="Calibri"/>
      <w:iCs/>
      <w:color w:val="FF0000"/>
      <w:sz w:val="24"/>
      <w:szCs w:val="24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>
    <w:name w:val="Подподпункт"/>
    <w:basedOn w:val="Style26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5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10">
    <w:name w:val="Обычный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Style38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9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0">
    <w:name w:val="Раздел договора"/>
    <w:basedOn w:val="Normal"/>
    <w:next w:val="Style39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9">
    <w:name w:val="Обычный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>
    <w:name w:val="Заголовок1"/>
    <w:basedOn w:val="Normal"/>
    <w:next w:val="Normal"/>
    <w:link w:val="Style18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qFormat/>
    <w:pPr>
      <w:spacing w:before="0" w:after="0"/>
      <w:contextualSpacing/>
    </w:pPr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Style41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114">
    <w:name w:val="Стиль1"/>
    <w:qFormat/>
  </w:style>
  <w:style w:type="numbering" w:styleId="210">
    <w:name w:val="Стиль2"/>
    <w:qFormat/>
  </w:style>
  <w:style w:type="numbering" w:styleId="115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Application>AlterOffice/3.4.0.9$Linux_X86_64 LibreOffice_project/b8daf9e823b1a5463a2f48435ddc2e8696e7d4fc</Application>
  <AppVersion>15.0000</AppVersion>
  <Pages>10</Pages>
  <Words>2146</Words>
  <Characters>11702</Characters>
  <CharactersWithSpaces>13769</CharactersWithSpaces>
  <Paragraphs>707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2023-08-22T17:35:00Z</dcterms:created>
  <dc:creator>Быстров Олег Геннадьевич</dc:creator>
  <dc:description/>
  <dc:language>ru-RU</dc:language>
  <cp:lastModifiedBy>balanovskiivd@corp.gidroogk.com</cp:lastModifiedBy>
  <cp:lastPrinted>2023-08-11T08:37:00Z</cp:lastPrinted>
  <dcterms:modified xsi:type="dcterms:W3CDTF">2026-06-12T11:31:53Z</dcterms:modified>
  <cp:revision>78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