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i/>
          <w:i/>
          <w:szCs w:val="20"/>
        </w:rPr>
      </w:pPr>
      <w:bookmarkStart w:id="0" w:name="_Toc1398562871"/>
      <w:bookmarkStart w:id="1" w:name="_Toc1375545841"/>
      <w:bookmarkStart w:id="2" w:name="_Toc1416967041"/>
      <w:bookmarkEnd w:id="0"/>
      <w:bookmarkEnd w:id="1"/>
      <w:bookmarkEnd w:id="2"/>
      <w:r>
        <w:rPr>
          <w:sz w:val="26"/>
          <w:szCs w:val="26"/>
        </w:rPr>
        <w:t xml:space="preserve">ТЕХНИЧЕСКИЕ ТРЕБОВАНИЯ </w:t>
      </w:r>
      <w:r>
        <w:rPr>
          <w:rFonts w:eastAsia="Calibri"/>
          <w:b/>
          <w:bCs/>
          <w:i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ОКПД2 26.30.11.130</w:t>
      </w:r>
    </w:p>
    <w:p>
      <w:pPr>
        <w:pStyle w:val="Normal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Поставка запчастей для оборудования АСУТП Зарамагской ГЭС-1 (Авари</w:t>
      </w:r>
      <w:r>
        <w:rPr>
          <w:rFonts w:eastAsia="Calibri"/>
          <w:bCs/>
          <w:sz w:val="26"/>
          <w:szCs w:val="26"/>
        </w:rPr>
        <w:t>й</w:t>
      </w:r>
      <w:r>
        <w:rPr>
          <w:rFonts w:eastAsia="Calibri"/>
          <w:bCs/>
          <w:sz w:val="26"/>
          <w:szCs w:val="26"/>
        </w:rPr>
        <w:t>ный запас)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eastAsia="en-US"/>
        </w:rPr>
        <w:t>Лот № 5-АЗ-2027-СОФ</w:t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41086742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3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4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5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1086746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7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00" w:leader="none"/>
              <w:tab w:val="right" w:pos="9911" w:leader="dot"/>
            </w:tabs>
            <w:ind w:left="708" w:hanging="0"/>
            <w:rPr/>
          </w:pPr>
          <w:hyperlink w:anchor="_Toc141086748">
            <w:r>
              <w:rPr>
                <w:webHidden/>
                <w:rStyle w:val="Style12"/>
                <w:vanish w:val="false"/>
                <w:sz w:val="24"/>
                <w:szCs w:val="24"/>
              </w:rPr>
              <w:t>2.1.1.</w:t>
            </w:r>
            <w:r>
              <w:rPr>
                <w:rStyle w:val="Style12"/>
                <w:sz w:val="24"/>
                <w:szCs w:val="24"/>
              </w:rPr>
              <w:t>Перечень и объем закупаемой продукции</w:t>
              <w:tab/>
            </w:r>
          </w:hyperlink>
          <w:r>
            <w:rPr>
              <w:rFonts w:eastAsia="" w:cs="" w:cstheme="minorBidi" w:eastAsiaTheme="minorEastAsia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49">
            <w:r>
              <w:rPr>
                <w:webHidden/>
                <w:rStyle w:val="Style12"/>
                <w:vanish w:val="false"/>
              </w:rPr>
              <w:t>Таблица 1. Перечень и объем закупаемой продукции</w:t>
              <w:tab/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00" w:leader="none"/>
              <w:tab w:val="right" w:pos="9911" w:leader="dot"/>
            </w:tabs>
            <w:ind w:left="708" w:hanging="0"/>
            <w:rPr/>
          </w:pPr>
          <w:hyperlink w:anchor="_Toc141086750">
            <w:r>
              <w:rPr>
                <w:webHidden/>
                <w:rStyle w:val="Style12"/>
                <w:vanish w:val="false"/>
                <w:sz w:val="24"/>
                <w:szCs w:val="24"/>
              </w:rPr>
              <w:t>2.1.2.</w:t>
            </w:r>
            <w:r>
              <w:rPr>
                <w:rStyle w:val="Style12"/>
                <w:sz w:val="24"/>
                <w:szCs w:val="24"/>
              </w:rPr>
              <w:t>Требования к срокам поставки продукции и оказания сопутствующих услуг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51">
            <w:r>
              <w:rPr>
                <w:webHidden/>
                <w:rStyle w:val="Style12"/>
                <w:vanish w:val="false"/>
              </w:rPr>
              <w:t>Таблица 2. Требования по срокам поставки продукции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52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4"/>
              <w:szCs w:val="24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53">
            <w:r>
              <w:rPr>
                <w:webHidden/>
                <w:rStyle w:val="Style12"/>
                <w:vanish w:val="false"/>
              </w:rPr>
              <w:t>Таблица 3. Требования к продукции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1086754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8</w:t>
          </w:r>
          <w:r>
            <w:rPr/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14108674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5" w:name="_Toc141086743"/>
      <w:bookmarkStart w:id="6" w:name="_Toc46743505"/>
      <w:r>
        <w:rPr>
          <w:lang w:val="ru-RU"/>
        </w:rPr>
        <w:t>Обозначения и сокращения</w:t>
      </w:r>
      <w:bookmarkEnd w:id="5"/>
      <w:bookmarkEnd w:id="6"/>
    </w:p>
    <w:p>
      <w:pPr>
        <w:pStyle w:val="Normal"/>
        <w:rPr>
          <w:rStyle w:val="Style10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3"/>
        <w:gridCol w:w="8497"/>
      </w:tblGrid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АСУ ТП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Автоматизированная система управления технологическим процессом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ГГ</w:t>
            </w:r>
          </w:p>
        </w:tc>
        <w:tc>
          <w:tcPr>
            <w:tcW w:w="8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Гидрогенератор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ГТ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Гидротурбина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ПЛК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/>
                <w:sz w:val="24"/>
                <w:szCs w:val="24"/>
              </w:rPr>
              <w:t>Программируемый логический контроллер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Филиал</w:t>
            </w:r>
          </w:p>
        </w:tc>
        <w:tc>
          <w:tcPr>
            <w:tcW w:w="8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филиал ПАО «РусГидро»-«Северо-Осетинский филиал»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Участник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поставщик,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7" w:name="_Toc46743506"/>
      <w:bookmarkStart w:id="8" w:name="_Toc141086744"/>
      <w:r>
        <w:rPr>
          <w:lang w:val="ru-RU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Оборудование для АСУ ТП Зарамагской ГЭС-1.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lang w:val="ru-RU"/>
        </w:rPr>
      </w:pPr>
      <w:bookmarkStart w:id="9" w:name="_Toc141086745"/>
      <w:bookmarkStart w:id="10" w:name="_Toc46743507"/>
      <w:r>
        <w:rPr>
          <w:lang w:val="ru-RU"/>
        </w:rP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9"/>
      <w:r>
        <w:rPr>
          <w:lang w:val="ru-RU"/>
        </w:rPr>
        <w:t xml:space="preserve">  </w:t>
      </w:r>
    </w:p>
    <w:p>
      <w:pPr>
        <w:pStyle w:val="Normal"/>
        <w:jc w:val="both"/>
        <w:rPr>
          <w:rStyle w:val="Style10"/>
          <w:b w:val="false"/>
          <w:bCs/>
          <w:sz w:val="24"/>
          <w:szCs w:val="24"/>
        </w:rPr>
      </w:pPr>
      <w:r>
        <w:rPr/>
        <w:tab/>
      </w:r>
      <w:r>
        <w:rPr>
          <w:sz w:val="24"/>
          <w:szCs w:val="24"/>
        </w:rPr>
        <w:t>Продукция закупается для аварийного запаса в целях обеспечения работоспособного состояния оборудования АСУ ТП Зарамагской ГЭС-1 филиала ПАО «РусГидро»-«Северо-Осетинский филиал».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141086746"/>
      <w:bookmarkStart w:id="13" w:name="_Toc46743510"/>
      <w:bookmarkStart w:id="14" w:name="_Toc50125126"/>
      <w:bookmarkEnd w:id="13"/>
      <w:bookmarkEnd w:id="14"/>
      <w:r>
        <w:rPr>
          <w:iCs/>
          <w:lang w:val="ru-RU"/>
        </w:rPr>
        <w:t>Требования к продукции</w:t>
      </w:r>
      <w:bookmarkEnd w:id="11"/>
      <w:bookmarkEnd w:id="12"/>
    </w:p>
    <w:p>
      <w:pPr>
        <w:pStyle w:val="BodyText"/>
        <w:rPr/>
      </w:pPr>
      <w:r>
        <w:rPr/>
        <w:tab/>
      </w:r>
      <w:r>
        <w:rPr>
          <w:sz w:val="24"/>
          <w:szCs w:val="24"/>
        </w:rPr>
        <w:t>Закупаемая продукция является запасными частями к уже установленному оборудованию и в соответствии с требованиями производителя этого оборудования  предложения аналогов не допускаются.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В случае невозможности поставки запрашиваемого оборудования в связи со снятием с  производства возможна замена на аналог из номенклатуры того же производителя,  выпускающегося, как замена для снятого с производства. Совместимость должна быть полной,  без ухудшения характеристик.</w:t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5" w:name="_Toc141086747"/>
      <w:r>
        <w:rPr>
          <w:lang w:val="ru-RU"/>
        </w:rPr>
        <w:t>Требования к объемам и срокам поставки</w:t>
      </w:r>
      <w:bookmarkEnd w:id="15"/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6" w:name="_Toc141086748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41086749"/>
      <w:bookmarkStart w:id="18" w:name="_Toc51339695"/>
      <w:r>
        <w:rPr>
          <w:sz w:val="24"/>
          <w:szCs w:val="24"/>
          <w:lang w:val="ru-RU"/>
        </w:rPr>
        <w:t xml:space="preserve">Таблица 1. 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92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99"/>
        <w:gridCol w:w="6500"/>
        <w:gridCol w:w="1309"/>
        <w:gridCol w:w="1420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Процессорный модуль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 CX2020 (арт.CX2020-0100)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 CX2100-0004 ‎(арт. CX2100-0004)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сигналов измеряемых частот ПромАвтоматика BFM-03 (арт. ПРГА.041249.40)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дискретных ‎выходных сигналов ПЛК Beckhoff EL2008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дискретных ‎входных сигналов ПЛК Beckhoff EL1889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аналоговых ‎входных сигналов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EL3068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дискретных ‎выходных сигналов ПЛК Beckhoff EL2809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‎</w:t>
            </w:r>
            <w:r>
              <w:rPr>
                <w:sz w:val="24"/>
                <w:szCs w:val="24"/>
              </w:rPr>
              <w:t>Модуль последовательных интерфейсов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EL6021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аналоговых ‎входных сигналов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EL3742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ind w:left="1224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rPr>
          <w:lang w:val="ru-RU"/>
        </w:rPr>
      </w:pPr>
      <w:r>
        <w:rPr>
          <w:lang w:val="ru-RU"/>
        </w:rPr>
        <w:t>Т</w:t>
      </w:r>
      <w:bookmarkStart w:id="19" w:name="_Toc141086750"/>
      <w:bookmarkStart w:id="20" w:name="_Toc51339696"/>
      <w:r>
        <w:rPr>
          <w:lang w:val="ru-RU"/>
        </w:rPr>
        <w:t xml:space="preserve">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141086751"/>
      <w:bookmarkStart w:id="22" w:name="_Toc50125127"/>
      <w:bookmarkStart w:id="23" w:name="_Toc51339697"/>
      <w:bookmarkStart w:id="24" w:name="_Toc501251261"/>
      <w:bookmarkEnd w:id="24"/>
      <w:r>
        <w:rPr>
          <w:sz w:val="24"/>
          <w:szCs w:val="24"/>
          <w:lang w:val="ru-RU"/>
        </w:rPr>
        <w:t xml:space="preserve">Таблица 2. </w:t>
      </w:r>
      <w:bookmarkStart w:id="25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4536"/>
        <w:gridCol w:w="2266"/>
        <w:gridCol w:w="241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Процессорный модуль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 CX2020 (арт.CX2020-0100)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CX2100-0004 ‎(арт. CX2100-0004)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сигналов измеряемых частот ПромАвтоматика BFM-03 (арт. ПРГА.041249.40)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дискретных ‎выходных сигналов ПЛК Beckhoff EL2008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дискретных ‎входных сигналов ПЛК Beckhoff EL1889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аналоговых ‎входных сигналов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EL3068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дискретных ‎выходных сигналов ПЛК Beckhoff EL2809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‎</w:t>
            </w:r>
            <w:r>
              <w:rPr>
                <w:sz w:val="24"/>
                <w:szCs w:val="24"/>
              </w:rPr>
              <w:t>Модуль последовательных интерфейсов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EL6021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аналоговых ‎входных сигналов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Beckhoff EL3742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spacing w:before="0" w:after="0"/>
        <w:rPr>
          <w:lang w:val="ru-RU"/>
        </w:rPr>
      </w:pPr>
      <w:bookmarkStart w:id="26" w:name="_Toc51339698"/>
      <w:bookmarkStart w:id="27" w:name="_Toc141086752"/>
      <w:bookmarkStart w:id="28" w:name="_Toc46743511"/>
      <w:r>
        <w:rPr>
          <w:lang w:val="ru-RU"/>
        </w:rPr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bookmarkStart w:id="29" w:name="_Toc141086753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 3. Требования к продукции</w:t>
      </w:r>
      <w:bookmarkEnd w:id="29"/>
      <w:r>
        <w:rPr>
          <w:sz w:val="24"/>
          <w:szCs w:val="24"/>
          <w:lang w:val="ru-RU"/>
        </w:rPr>
        <w:t xml:space="preserve"> </w:t>
      </w:r>
      <w:bookmarkEnd w:id="26"/>
    </w:p>
    <w:p>
      <w:pPr>
        <w:pStyle w:val="Normal"/>
        <w:jc w:val="both"/>
        <w:rPr>
          <w:rStyle w:val="Style10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4"/>
        <w:tblW w:w="154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9"/>
        <w:gridCol w:w="3239"/>
        <w:gridCol w:w="4141"/>
        <w:gridCol w:w="2391"/>
        <w:gridCol w:w="12"/>
        <w:gridCol w:w="2366"/>
        <w:gridCol w:w="12"/>
        <w:gridCol w:w="2226"/>
        <w:gridCol w:w="235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76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202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Процессорный модуль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Beckhoff  CX2020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(арт.CX2020-0100)</w:t>
            </w:r>
          </w:p>
        </w:tc>
        <w:tc>
          <w:tcPr>
            <w:tcW w:w="41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Beckhoff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Возможна поставка CX2033-0100 производства Beckhoff</w:t>
            </w:r>
          </w:p>
        </w:tc>
        <w:tc>
          <w:tcPr>
            <w:tcW w:w="23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питания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Beckhoff  CX2100-0004 ‎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(арт. CX2100-0004)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Beckhoff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Преобразователь сигналов измеряемых частот ПромАвтоматика BFM-03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(арт. ПРГА.041249.40)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ООО «ПромАвтоматика»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Возможна поставка модуля BFM-06 или BFM-07 производства ООО «ПромАвтоматика»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дискретных ‎выходных сигналов ПЛК Beckhoff EL2008</w:t>
            </w:r>
          </w:p>
        </w:tc>
        <w:tc>
          <w:tcPr>
            <w:tcW w:w="41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 Beckhoff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дискретных ‎входных сигналов ПЛК Beckhoff EL1889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 Beckhoff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аналоговых ‎входных сигналов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Beckhoff EL3068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 Beckhoff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дискретных ‎выходных сигналов ПЛК Beckhoff EL2809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 Beckhoff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‎</w:t>
            </w: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последовательных интерфейсов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Beckhoff EL6021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 Beckhoff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аналоговых ‎входных сигналов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Beckhoff EL3742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 Beckhoff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lang w:val="en-US" w:eastAsia="x-none" w:bidi="ar-SA"/>
              </w:rPr>
              <w:t>2.</w:t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Поставка до склада Заказчика. 362049 РСО-Алания, г. Владикавказ, ул. Васо Абаева, 63, филиал ПАО «РусГидро» - «Северо-Осетинский филиал».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климатических факторов внешней̆ среды – по группе условий хранения и транспортирования 3 (Ж3) ГОСТ 15150, но для температуры от минус 30 до 50°С;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внешних воздействующих факторов (ВВФ) – в условиях «С» по ГОСТ 23170.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800" w:hRule="atLeast"/>
        </w:trPr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-Паспорт от поставщика;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-Декларация соответствия;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-Товарная накладная;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-Счет фактура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keepLines/>
        <w:numPr>
          <w:ilvl w:val="0"/>
          <w:numId w:val="1"/>
        </w:numPr>
        <w:ind w:left="357" w:hanging="357"/>
        <w:rPr>
          <w:lang w:val="ru-RU"/>
        </w:rPr>
      </w:pPr>
      <w:bookmarkStart w:id="30" w:name="_Toc141086754"/>
      <w:r>
        <w:rPr>
          <w:lang w:val="ru-RU"/>
        </w:rPr>
        <w:t>Требования к документации по ценообразованию на этапе закупки</w:t>
      </w:r>
      <w:bookmarkEnd w:id="30"/>
    </w:p>
    <w:p>
      <w:pPr>
        <w:pStyle w:val="Normal"/>
        <w:numPr>
          <w:ilvl w:val="1"/>
          <w:numId w:val="4"/>
        </w:numPr>
        <w:spacing w:before="0" w:after="120"/>
        <w:ind w:left="709" w:hanging="709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67" w:leader="none"/>
          <w:tab w:val="left" w:pos="709" w:leader="none"/>
        </w:tabs>
        <w:spacing w:before="0" w:after="120"/>
        <w:ind w:left="289" w:hanging="289"/>
        <w:rPr>
          <w:bCs/>
          <w:iCs/>
          <w:sz w:val="24"/>
          <w:szCs w:val="24"/>
          <w:lang w:eastAsia="x-none"/>
        </w:rPr>
      </w:pPr>
      <w:bookmarkStart w:id="32" w:name="_Hlk48224758"/>
      <w:bookmarkStart w:id="33" w:name="_Ref40301253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  <w:bookmarkEnd w:id="32"/>
      <w:bookmarkEnd w:id="33"/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2"/>
        <w:numPr>
          <w:ilvl w:val="2"/>
          <w:numId w:val="4"/>
        </w:numPr>
        <w:rPr/>
      </w:pPr>
      <w:bookmarkStart w:id="34" w:name="_Toc141972716"/>
      <w:bookmarkStart w:id="35" w:name="_Ref511135236"/>
      <w:r>
        <w:rPr/>
        <w:t xml:space="preserve">Форма </w:t>
      </w:r>
      <w:bookmarkEnd w:id="35"/>
      <w:r>
        <w:rPr/>
        <w:t>Коммерческого предложения</w:t>
      </w:r>
      <w:bookmarkEnd w:id="34"/>
    </w:p>
    <w:p>
      <w:pPr>
        <w:pStyle w:val="Normal"/>
        <w:keepNext w:val="true"/>
        <w:pBdr>
          <w:top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начало формы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от «____» _____________ г. №__________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  <w:t>Наименование и ИНН Участника: 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10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rPr>
          <w:rStyle w:val="Style10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146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"/>
        <w:gridCol w:w="561"/>
        <w:gridCol w:w="975"/>
        <w:gridCol w:w="1676"/>
        <w:gridCol w:w="4417"/>
        <w:gridCol w:w="1025"/>
        <w:gridCol w:w="1816"/>
        <w:gridCol w:w="1549"/>
        <w:gridCol w:w="671"/>
        <w:gridCol w:w="29"/>
        <w:gridCol w:w="1258"/>
        <w:gridCol w:w="222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lang w:eastAsia="en-US"/>
              </w:rPr>
              <w:t>п/п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Производитель продукции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НМЦ единицы продукции (руб. без НДС)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i/>
                <w:i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</w:rPr>
              <w:t>продукции</w:t>
            </w:r>
            <w:r>
              <w:rPr>
                <w:rFonts w:eastAsia="Calibri"/>
                <w:sz w:val="20"/>
                <w:lang w:eastAsia="en-US"/>
              </w:rPr>
              <w:t>, руб. без НДС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Кол-во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12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  <w:r>
        <w:br w:type="page"/>
      </w:r>
    </w:p>
    <w:p>
      <w:pPr>
        <w:pStyle w:val="22"/>
        <w:numPr>
          <w:ilvl w:val="2"/>
          <w:numId w:val="7"/>
        </w:numPr>
        <w:rPr/>
      </w:pPr>
      <w:bookmarkStart w:id="36" w:name="_Toc141972717"/>
      <w:r>
        <w:rPr/>
        <w:t>Инструкции по заполнению</w:t>
      </w:r>
      <w:bookmarkEnd w:id="36"/>
    </w:p>
    <w:p>
      <w:pPr>
        <w:pStyle w:val="Style25"/>
        <w:rPr/>
      </w:pPr>
      <w:r>
        <w:rPr/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/>
      </w:pPr>
      <w:r>
        <w:rPr/>
        <w:t xml:space="preserve">Все расчеты округляются до двух знаков после запятой. </w:t>
      </w:r>
    </w:p>
    <w:p>
      <w:pPr>
        <w:pStyle w:val="Style25"/>
        <w:tabs>
          <w:tab w:val="clear" w:pos="1134"/>
        </w:tabs>
        <w:rPr/>
      </w:pPr>
      <w:r>
        <w:rPr/>
        <w:t>Данная форма должна быть в обязательном порядке представлена в формате, доступном для редактирования (</w:t>
      </w:r>
      <w:r>
        <w:rPr>
          <w:lang w:val="en-US"/>
        </w:rPr>
        <w:t>MicrosoftExcelSheet</w:t>
      </w:r>
      <w:r>
        <w:rPr/>
        <w:t xml:space="preserve"> (*.</w:t>
      </w:r>
      <w:r>
        <w:rPr>
          <w:lang w:val="en-US"/>
        </w:rPr>
        <w:t>xls</w:t>
      </w:r>
      <w:r>
        <w:rPr/>
        <w:t>)).</w:t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71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3716f"/>
    <w:pPr>
      <w:ind w:left="36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f3716f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3716f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f3716f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3716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3716f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qFormat/>
    <w:rsid w:val="00f371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f3716f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f3716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Основной текст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f3716f"/>
    <w:rPr/>
  </w:style>
  <w:style w:type="character" w:styleId="11" w:customStyle="1">
    <w:name w:val="Гиперссылка1"/>
    <w:uiPriority w:val="99"/>
    <w:qFormat/>
    <w:rsid w:val="00f3716f"/>
    <w:rPr>
      <w:color w:val="0000FF"/>
      <w:u w:val="single"/>
    </w:rPr>
  </w:style>
  <w:style w:type="character" w:styleId="SubtleEmphasis">
    <w:name w:val="Subtle Emphasis"/>
    <w:uiPriority w:val="19"/>
    <w:qFormat/>
    <w:rsid w:val="00f3716f"/>
    <w:rPr>
      <w:i/>
      <w:iCs/>
      <w:color w:val="808080"/>
    </w:rPr>
  </w:style>
  <w:style w:type="character" w:styleId="Style9" w:customStyle="1">
    <w:name w:val="Абзац списка Знак"/>
    <w:link w:val="ListParagraph"/>
    <w:uiPriority w:val="34"/>
    <w:qFormat/>
    <w:locked/>
    <w:rsid w:val="00f3716f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sid w:val="00f3716f"/>
    <w:rPr>
      <w:b/>
      <w:i/>
      <w:shd w:fill="FFFF99" w:val="clear"/>
    </w:rPr>
  </w:style>
  <w:style w:type="character" w:styleId="Style11" w:customStyle="1">
    <w:name w:val="Заголовок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3290a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d290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Пункт2 Знак"/>
    <w:link w:val="22"/>
    <w:qFormat/>
    <w:rsid w:val="00af79c3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" w:customStyle="1">
    <w:name w:val="Подпункт Знак1"/>
    <w:link w:val="Style25"/>
    <w:qFormat/>
    <w:rsid w:val="00af79c3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rsid w:val="00f3716f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/>
      <w:sz w:val="24"/>
    </w:rPr>
  </w:style>
  <w:style w:type="paragraph" w:styleId="Title">
    <w:name w:val="Title"/>
    <w:basedOn w:val="Normal"/>
    <w:next w:val="BodyText"/>
    <w:link w:val="Style11"/>
    <w:qFormat/>
    <w:rsid w:val="00f3716f"/>
    <w:pPr>
      <w:jc w:val="center"/>
    </w:pPr>
    <w:rPr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5"/>
    <w:rsid w:val="00f3716f"/>
    <w:pPr/>
    <w:rPr>
      <w:sz w:val="20"/>
      <w:szCs w:val="20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f3716f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3716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3716f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3716f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rsid w:val="00f3716f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0" w:customStyle="1">
    <w:name w:val="Таблица"/>
    <w:basedOn w:val="Normal"/>
    <w:qFormat/>
    <w:rsid w:val="00f3716f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1" w:customStyle="1">
    <w:name w:val="Таблица шапка"/>
    <w:basedOn w:val="Normal"/>
    <w:qFormat/>
    <w:rsid w:val="00f3716f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sPlusNonformat" w:customStyle="1">
    <w:name w:val="ConsPlusNonformat"/>
    <w:qFormat/>
    <w:rsid w:val="00fb45cd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Revision">
    <w:name w:val="Revision"/>
    <w:uiPriority w:val="99"/>
    <w:semiHidden/>
    <w:qFormat/>
    <w:rsid w:val="00725e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3290a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4"/>
    <w:uiPriority w:val="99"/>
    <w:unhideWhenUsed/>
    <w:rsid w:val="002d29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Подпункт"/>
    <w:basedOn w:val="Normal"/>
    <w:link w:val="12"/>
    <w:qFormat/>
    <w:rsid w:val="00af79c3"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paragraph" w:styleId="22" w:customStyle="1">
    <w:name w:val="Пункт2"/>
    <w:basedOn w:val="Normal"/>
    <w:link w:val="21"/>
    <w:qFormat/>
    <w:rsid w:val="00af79c3"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13510931031" w:customStyle="1">
    <w:name w:val="13510931031"/>
    <w:qFormat/>
  </w:style>
  <w:style w:type="numbering" w:styleId="31318679771" w:customStyle="1">
    <w:name w:val="31318679771"/>
    <w:qFormat/>
  </w:style>
  <w:style w:type="numbering" w:styleId="34419042671" w:customStyle="1">
    <w:name w:val="34419042671"/>
    <w:qFormat/>
  </w:style>
  <w:style w:type="numbering" w:styleId="26532941361" w:customStyle="1">
    <w:name w:val="26532941361"/>
    <w:qFormat/>
  </w:style>
  <w:style w:type="numbering" w:styleId="3682183901" w:customStyle="1">
    <w:name w:val="3682183901"/>
    <w:qFormat/>
  </w:style>
  <w:style w:type="numbering" w:styleId="24268355371" w:customStyle="1">
    <w:name w:val="24268355371"/>
    <w:qFormat/>
  </w:style>
  <w:style w:type="numbering" w:styleId="7988936521" w:customStyle="1">
    <w:name w:val="7988936521"/>
    <w:qFormat/>
  </w:style>
  <w:style w:type="numbering" w:styleId="36179227071" w:customStyle="1">
    <w:name w:val="36179227071"/>
    <w:qFormat/>
  </w:style>
  <w:style w:type="numbering" w:styleId="25870252701" w:customStyle="1">
    <w:name w:val="25870252701"/>
    <w:qFormat/>
  </w:style>
  <w:style w:type="numbering" w:styleId="22393998441" w:customStyle="1">
    <w:name w:val="22393998441"/>
    <w:qFormat/>
  </w:style>
  <w:style w:type="numbering" w:styleId="15141312561" w:customStyle="1">
    <w:name w:val="15141312561"/>
    <w:qFormat/>
  </w:style>
  <w:style w:type="numbering" w:styleId="17459896441" w:customStyle="1">
    <w:name w:val="17459896441"/>
    <w:qFormat/>
  </w:style>
  <w:style w:type="numbering" w:styleId="21180751891" w:customStyle="1">
    <w:name w:val="211807518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f3716f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AlterOffice/3.4.0.9$Linux_X86_64 LibreOffice_project/b8daf9e823b1a5463a2f48435ddc2e8696e7d4fc</Application>
  <AppVersion>15.0000</AppVersion>
  <Pages>10</Pages>
  <Words>1193</Words>
  <Characters>8129</Characters>
  <CharactersWithSpaces>9026</CharactersWithSpaces>
  <Paragraphs>280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2024-08-29T05:36:00Z</dcterms:created>
  <dc:creator>Балаев Алан Георгиевич</dc:creator>
  <dc:description/>
  <dc:language>ru-RU</dc:language>
  <cp:lastModifiedBy>Марат Борисович Дудиев</cp:lastModifiedBy>
  <dcterms:modified xsi:type="dcterms:W3CDTF">2026-06-15T15:51:56Z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