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923252" w:rsidRDefault="00923252">
      <w:pPr>
        <w:keepNext/>
        <w:keepLines/>
        <w:jc w:val="center"/>
        <w:rPr>
          <w:sz w:val="24"/>
          <w:szCs w:val="24"/>
        </w:rPr>
      </w:pPr>
    </w:p>
    <w:p w:rsidR="00923252" w:rsidRDefault="00923252">
      <w:pPr>
        <w:keepNext/>
        <w:keepLines/>
        <w:jc w:val="center"/>
        <w:rPr>
          <w:sz w:val="24"/>
          <w:szCs w:val="24"/>
        </w:rPr>
      </w:pPr>
    </w:p>
    <w:p w:rsidR="00923252" w:rsidRDefault="00923252">
      <w:pPr>
        <w:keepNext/>
        <w:keepLines/>
        <w:jc w:val="center"/>
        <w:rPr>
          <w:sz w:val="24"/>
          <w:szCs w:val="24"/>
        </w:rPr>
      </w:pPr>
    </w:p>
    <w:p w:rsidR="00923252" w:rsidRDefault="00923252">
      <w:pPr>
        <w:keepNext/>
        <w:keepLines/>
        <w:jc w:val="center"/>
        <w:rPr>
          <w:sz w:val="24"/>
          <w:szCs w:val="24"/>
        </w:rPr>
      </w:pPr>
    </w:p>
    <w:p w:rsidR="00923252" w:rsidRDefault="00923252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sz w:val="24"/>
          <w:szCs w:val="24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Default="006B735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B735B" w:rsidRPr="00923252" w:rsidRDefault="00923252">
      <w:pPr>
        <w:keepNext/>
        <w:keepLines/>
        <w:jc w:val="center"/>
        <w:rPr>
          <w:rFonts w:eastAsia="Calibri"/>
          <w:b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  <w:r w:rsidRPr="00923252">
        <w:rPr>
          <w:rFonts w:eastAsia="Calibri"/>
          <w:b/>
        </w:rPr>
        <w:t xml:space="preserve">Технические требования </w:t>
      </w:r>
    </w:p>
    <w:p w:rsidR="006B735B" w:rsidRDefault="006B735B">
      <w:pPr>
        <w:widowControl w:val="0"/>
        <w:tabs>
          <w:tab w:val="left" w:pos="426"/>
        </w:tabs>
        <w:spacing w:before="120"/>
        <w:jc w:val="center"/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</w:p>
    <w:p w:rsidR="006B735B" w:rsidRDefault="00923252">
      <w:pPr>
        <w:jc w:val="center"/>
      </w:pPr>
      <w:r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ОКПД2 26.51.42.120 Поставка приборов контроля, связи, измерений и прочей аппаратуры для нужд филиала ПАО "РусГидро"-"Воткинская ГЭС"</w:t>
      </w:r>
    </w:p>
    <w:p w:rsidR="006B735B" w:rsidRDefault="006B735B">
      <w:pPr>
        <w:rPr>
          <w:rStyle w:val="afb"/>
          <w:rFonts w:ascii="Times New Roman;serif" w:eastAsia="Calibri" w:hAnsi="Times New Roman;serif"/>
          <w:b/>
          <w:bCs/>
          <w:i w:val="0"/>
          <w:color w:val="302709"/>
          <w:sz w:val="26"/>
          <w:szCs w:val="26"/>
          <w:shd w:val="clear" w:color="auto" w:fill="FFFFFF"/>
        </w:rPr>
      </w:pPr>
    </w:p>
    <w:p w:rsidR="006B735B" w:rsidRDefault="00923252">
      <w:pPr>
        <w:keepNext/>
        <w:keepLines/>
        <w:jc w:val="center"/>
      </w:pPr>
      <w:r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 xml:space="preserve">Лот № </w:t>
      </w:r>
      <w:r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35-ЭКСП-БПД-2026-ВотГЭС</w:t>
      </w:r>
    </w:p>
    <w:p w:rsidR="006B735B" w:rsidRDefault="006B735B">
      <w:pPr>
        <w:jc w:val="center"/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</w:p>
    <w:p w:rsidR="006B735B" w:rsidRDefault="00923252">
      <w:pPr>
        <w:jc w:val="center"/>
        <w:rPr>
          <w:rStyle w:val="afb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  <w:r>
        <w:br w:type="page"/>
      </w:r>
    </w:p>
    <w:p w:rsidR="006B735B" w:rsidRDefault="00923252">
      <w:pPr>
        <w:jc w:val="center"/>
      </w:pPr>
      <w:r>
        <w:rPr>
          <w:b/>
        </w:rPr>
        <w:lastRenderedPageBreak/>
        <w:t>СОДЕРЖАНИЕ</w:t>
      </w:r>
    </w:p>
    <w:sdt>
      <w:sdtPr>
        <w:rPr>
          <w:rFonts w:cs="Calibri"/>
        </w:rPr>
        <w:id w:val="1764107616"/>
        <w:docPartObj>
          <w:docPartGallery w:val="Table of Contents"/>
          <w:docPartUnique/>
        </w:docPartObj>
      </w:sdtPr>
      <w:sdtEndPr/>
      <w:sdtContent>
        <w:p w:rsidR="006B735B" w:rsidRDefault="00923252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sz w:val="24"/>
              <w:szCs w:val="24"/>
            </w:rPr>
            <w:instrText xml:space="preserve"> TOC \o "1-4" \h</w:instrText>
          </w:r>
          <w:r>
            <w:rPr>
              <w:rFonts w:eastAsia="Calibri"/>
              <w:sz w:val="24"/>
              <w:szCs w:val="24"/>
            </w:rPr>
            <w:fldChar w:fldCharType="separate"/>
          </w:r>
          <w:r>
            <w:rPr>
              <w:rFonts w:eastAsia="Calibri"/>
              <w:sz w:val="24"/>
              <w:szCs w:val="24"/>
            </w:rPr>
            <w:t xml:space="preserve">      </w:t>
          </w:r>
          <w:hyperlink w:anchor="_Toc134784042">
            <w:r>
              <w:rPr>
                <w:rStyle w:val="aff5"/>
                <w:rFonts w:eastAsia="Calibri"/>
                <w:b/>
                <w:bCs/>
                <w:sz w:val="24"/>
                <w:szCs w:val="24"/>
              </w:rPr>
              <w:t>1.</w:t>
            </w:r>
            <w:r>
              <w:rPr>
                <w:rStyle w:val="aff5"/>
                <w:rFonts w:eastAsiaTheme="minorEastAsia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f5"/>
                <w:rFonts w:eastAsia="Calibri"/>
                <w:b/>
                <w:bCs/>
                <w:sz w:val="24"/>
                <w:szCs w:val="24"/>
              </w:rPr>
              <w:t>Общие сведения</w:t>
            </w:r>
            <w:r>
              <w:rPr>
                <w:rStyle w:val="aff5"/>
                <w:rFonts w:eastAsia="Calibri"/>
                <w:sz w:val="24"/>
                <w:szCs w:val="24"/>
              </w:rPr>
              <w:t>………………………………………………………………………………...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3">
            <w:r>
              <w:rPr>
                <w:rStyle w:val="aff5"/>
                <w:rFonts w:eastAsia="Calibri"/>
                <w:iCs/>
              </w:rPr>
              <w:t>1.1.</w:t>
            </w:r>
            <w:r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5"/>
                <w:rFonts w:eastAsia="Calibri"/>
              </w:rPr>
              <w:t xml:space="preserve">Обозначения и сокращения              </w:t>
            </w:r>
            <w:r>
              <w:rPr>
                <w:rStyle w:val="aff5"/>
                <w:rFonts w:eastAsia="Calibri"/>
              </w:rPr>
              <w:t xml:space="preserve">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4">
            <w:r>
              <w:rPr>
                <w:rStyle w:val="aff5"/>
                <w:rFonts w:eastAsia="Calibri"/>
                <w:iCs/>
              </w:rPr>
              <w:t>1.2.</w:t>
            </w:r>
            <w:r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5"/>
                <w:rFonts w:eastAsia="Calibri"/>
              </w:rPr>
              <w:t>Наименов</w:t>
            </w:r>
            <w:r>
              <w:rPr>
                <w:rStyle w:val="aff5"/>
                <w:rFonts w:eastAsia="Calibri"/>
              </w:rPr>
              <w:t xml:space="preserve">ание закупаемой продукции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5">
            <w:r>
              <w:rPr>
                <w:rStyle w:val="aff5"/>
                <w:rFonts w:eastAsia="Calibri"/>
                <w:iCs/>
              </w:rPr>
              <w:t>1.3.</w:t>
            </w:r>
            <w:r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5"/>
                <w:rFonts w:eastAsia="Calibri"/>
              </w:rPr>
              <w:t xml:space="preserve">Цель оказания услуг               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6">
            <w:r>
              <w:rPr>
                <w:rStyle w:val="aff5"/>
                <w:rFonts w:eastAsia="Calibri"/>
                <w:b/>
                <w:bCs/>
                <w:sz w:val="24"/>
                <w:szCs w:val="24"/>
              </w:rPr>
              <w:t>2. Требования к продукции</w:t>
            </w:r>
            <w:r>
              <w:rPr>
                <w:rStyle w:val="aff5"/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7">
            <w:r>
              <w:rPr>
                <w:rStyle w:val="aff5"/>
                <w:rFonts w:eastAsia="Calibri"/>
              </w:rPr>
              <w:t xml:space="preserve">2.1. Требования к объемам и срокам поставки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</w:instrText>
            </w:r>
            <w:r>
              <w:rPr>
                <w:webHidden/>
              </w:rPr>
              <w:instrText>F _Toc134784047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B735B" w:rsidRDefault="00923252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rFonts w:eastAsia="Calibri"/>
            </w:rPr>
            <w:t xml:space="preserve">      </w:t>
          </w:r>
          <w:hyperlink w:anchor="_Toc134784048">
            <w:r>
              <w:rPr>
                <w:rStyle w:val="aff5"/>
                <w:rFonts w:eastAsia="Calibri"/>
              </w:rPr>
              <w:t>2.1.1 Перечень и объем закупаемой продукции</w:t>
            </w:r>
          </w:hyperlink>
          <w:r>
            <w:rPr>
              <w:rFonts w:eastAsia="Calibri"/>
            </w:rPr>
            <w:t xml:space="preserve">                                                                                    </w:t>
          </w:r>
          <w:r>
            <w:rPr>
              <w:rFonts w:eastAsia="Calibri"/>
            </w:rPr>
            <w:t xml:space="preserve">                    4</w:t>
          </w:r>
        </w:p>
        <w:p w:rsidR="006B735B" w:rsidRDefault="00923252">
          <w:pPr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t xml:space="preserve">       </w:t>
          </w:r>
          <w:r>
            <w:rPr>
              <w:sz w:val="20"/>
              <w:szCs w:val="20"/>
            </w:rPr>
            <w:t xml:space="preserve"> 2.1.2. Требования по срокам поставки продукции                                                                                                     6</w:t>
          </w:r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9">
            <w:r>
              <w:rPr>
                <w:rStyle w:val="aff5"/>
                <w:rFonts w:eastAsia="Calibri"/>
              </w:rPr>
              <w:t>2.2. Требования к качеству продукции</w:t>
            </w:r>
          </w:hyperlink>
          <w:r>
            <w:rPr>
              <w:rFonts w:eastAsia="Calibri"/>
            </w:rPr>
            <w:t xml:space="preserve">     </w:t>
          </w:r>
          <w:r>
            <w:rPr>
              <w:rFonts w:eastAsia="Calibri"/>
            </w:rPr>
            <w:t xml:space="preserve">                                                                                                                  7</w:t>
          </w:r>
        </w:p>
        <w:p w:rsidR="006B735B" w:rsidRDefault="00923252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52">
            <w:r>
              <w:rPr>
                <w:rStyle w:val="aff5"/>
                <w:rFonts w:eastAsia="Calibri"/>
                <w:b/>
                <w:bCs/>
                <w:sz w:val="24"/>
                <w:szCs w:val="24"/>
              </w:rPr>
              <w:t>3. Требования к документации по ценообразованию на этапе закупки</w:t>
            </w:r>
            <w:r>
              <w:rPr>
                <w:rStyle w:val="aff5"/>
                <w:rFonts w:eastAsia="Calibri"/>
                <w:sz w:val="24"/>
                <w:szCs w:val="24"/>
              </w:rPr>
              <w:t>………………</w:t>
            </w:r>
            <w:r>
              <w:rPr>
                <w:rStyle w:val="aff5"/>
                <w:rFonts w:eastAsia="Calibri"/>
              </w:rPr>
              <w:t>.</w:t>
            </w:r>
          </w:hyperlink>
          <w:r>
            <w:rPr>
              <w:rFonts w:eastAsia="Calibri"/>
            </w:rPr>
            <w:t>..17</w:t>
          </w:r>
          <w:r>
            <w:rPr>
              <w:rFonts w:eastAsia="Calibri"/>
            </w:rPr>
            <w:fldChar w:fldCharType="end"/>
          </w:r>
        </w:p>
      </w:sdtContent>
    </w:sdt>
    <w:p w:rsidR="006B735B" w:rsidRDefault="006B735B">
      <w:pPr>
        <w:pStyle w:val="4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6B735B" w:rsidRDefault="006B735B">
      <w:pPr>
        <w:tabs>
          <w:tab w:val="left" w:pos="560"/>
          <w:tab w:val="right" w:leader="dot" w:pos="9911"/>
        </w:tabs>
        <w:spacing w:before="120"/>
      </w:pPr>
    </w:p>
    <w:p w:rsidR="006B735B" w:rsidRDefault="006B735B">
      <w:pPr>
        <w:tabs>
          <w:tab w:val="left" w:pos="560"/>
          <w:tab w:val="right" w:leader="dot" w:pos="9911"/>
        </w:tabs>
        <w:rPr>
          <w:rFonts w:eastAsia="Calibri"/>
        </w:rPr>
      </w:pPr>
    </w:p>
    <w:p w:rsidR="006B735B" w:rsidRDefault="006B735B">
      <w:pPr>
        <w:pStyle w:val="18"/>
        <w:tabs>
          <w:tab w:val="right" w:leader="dot" w:pos="9911"/>
        </w:tabs>
        <w:rPr>
          <w:rFonts w:ascii="Calibri" w:eastAsia="PMingLiU" w:hAnsi="Calibri" w:cs="Arial"/>
        </w:rPr>
      </w:pPr>
    </w:p>
    <w:p w:rsidR="006B735B" w:rsidRDefault="006B735B">
      <w:pPr>
        <w:pStyle w:val="2"/>
        <w:ind w:left="0" w:firstLine="0"/>
        <w:rPr>
          <w:b w:val="0"/>
          <w:i/>
        </w:rPr>
      </w:pPr>
    </w:p>
    <w:p w:rsidR="006B735B" w:rsidRDefault="0092325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B735B" w:rsidRDefault="00923252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3" w:name="_Toc126309964"/>
      <w:bookmarkStart w:id="4" w:name="_Toc134784042"/>
      <w:bookmarkEnd w:id="3"/>
      <w:r>
        <w:rPr>
          <w:lang w:val="ru-RU"/>
        </w:rPr>
        <w:lastRenderedPageBreak/>
        <w:t>Общие сведения</w:t>
      </w:r>
      <w:bookmarkEnd w:id="4"/>
    </w:p>
    <w:p w:rsidR="006B735B" w:rsidRDefault="00923252">
      <w:pPr>
        <w:pStyle w:val="4"/>
        <w:numPr>
          <w:ilvl w:val="1"/>
          <w:numId w:val="1"/>
        </w:numPr>
      </w:pPr>
      <w:bookmarkStart w:id="5" w:name="_Toc126309965"/>
      <w:bookmarkStart w:id="6" w:name="_Toc46743505"/>
      <w:bookmarkStart w:id="7" w:name="_Toc134784043"/>
      <w:bookmarkEnd w:id="5"/>
      <w:bookmarkEnd w:id="6"/>
      <w:r>
        <w:t>Обозначения и сокращения</w:t>
      </w:r>
      <w:bookmarkEnd w:id="7"/>
    </w:p>
    <w:tbl>
      <w:tblPr>
        <w:tblW w:w="9783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85"/>
        <w:gridCol w:w="7998"/>
      </w:tblGrid>
      <w:tr w:rsidR="006B735B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6B735B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Гидравлическая электростанция</w:t>
            </w:r>
          </w:p>
        </w:tc>
      </w:tr>
    </w:tbl>
    <w:p w:rsidR="006B735B" w:rsidRDefault="006B735B">
      <w:pPr>
        <w:keepNext/>
        <w:keepLines/>
        <w:jc w:val="both"/>
        <w:rPr>
          <w:sz w:val="24"/>
          <w:szCs w:val="24"/>
        </w:rPr>
      </w:pPr>
    </w:p>
    <w:p w:rsidR="006B735B" w:rsidRDefault="006B735B">
      <w:pPr>
        <w:keepNext/>
        <w:keepLines/>
        <w:jc w:val="both"/>
        <w:rPr>
          <w:sz w:val="24"/>
          <w:szCs w:val="24"/>
        </w:rPr>
      </w:pPr>
    </w:p>
    <w:p w:rsidR="006B735B" w:rsidRDefault="00923252">
      <w:pPr>
        <w:keepNext/>
        <w:keepLines/>
        <w:rPr>
          <w:sz w:val="24"/>
          <w:szCs w:val="24"/>
        </w:rPr>
      </w:pPr>
      <w:r>
        <w:br w:type="page"/>
      </w:r>
    </w:p>
    <w:p w:rsidR="006B735B" w:rsidRDefault="00923252">
      <w:pPr>
        <w:pStyle w:val="4"/>
        <w:numPr>
          <w:ilvl w:val="1"/>
          <w:numId w:val="1"/>
        </w:numPr>
      </w:pPr>
      <w:bookmarkStart w:id="8" w:name="_Toc126309966"/>
      <w:bookmarkStart w:id="9" w:name="_Toc46743506"/>
      <w:bookmarkStart w:id="10" w:name="_Toc134784044"/>
      <w:bookmarkEnd w:id="8"/>
      <w:bookmarkEnd w:id="9"/>
      <w:r>
        <w:lastRenderedPageBreak/>
        <w:t>Наименование закупаемой продукции</w:t>
      </w:r>
      <w:bookmarkEnd w:id="10"/>
    </w:p>
    <w:p w:rsidR="006B735B" w:rsidRDefault="00923252">
      <w:pPr>
        <w:jc w:val="both"/>
      </w:pPr>
      <w:r>
        <w:rPr>
          <w:rStyle w:val="afb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>ОКПД2 26.51.42.120 Поставка приборов контроля, связи, измерений и прочей аппаратуры для нужд филиала ПАО "РусГидро"-"Воткинская ГЭС</w:t>
      </w:r>
      <w:r>
        <w:rPr>
          <w:rStyle w:val="afb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>"</w:t>
      </w:r>
    </w:p>
    <w:p w:rsidR="006B735B" w:rsidRDefault="006B735B">
      <w:pPr>
        <w:widowControl w:val="0"/>
        <w:tabs>
          <w:tab w:val="left" w:pos="426"/>
        </w:tabs>
        <w:spacing w:before="120"/>
        <w:jc w:val="both"/>
        <w:rPr>
          <w:rStyle w:val="afb"/>
          <w:rFonts w:eastAsia="Calibri"/>
          <w:i w:val="0"/>
          <w:color w:val="000000" w:themeColor="text1"/>
          <w:sz w:val="24"/>
          <w:szCs w:val="24"/>
          <w:shd w:val="clear" w:color="auto" w:fill="auto"/>
        </w:rPr>
      </w:pPr>
    </w:p>
    <w:p w:rsidR="006B735B" w:rsidRDefault="00923252">
      <w:pPr>
        <w:pStyle w:val="4"/>
        <w:numPr>
          <w:ilvl w:val="1"/>
          <w:numId w:val="1"/>
        </w:numPr>
        <w:spacing w:before="240"/>
        <w:ind w:left="431" w:hanging="431"/>
      </w:pPr>
      <w:bookmarkStart w:id="11" w:name="_Toc46743507"/>
      <w:bookmarkStart w:id="12" w:name="_Toc126309967"/>
      <w:bookmarkStart w:id="13" w:name="_Toc134784045"/>
      <w:r>
        <w:t xml:space="preserve">Цель </w:t>
      </w:r>
      <w:bookmarkEnd w:id="11"/>
      <w:r>
        <w:t>использования закупаемой продукции</w:t>
      </w:r>
      <w:r>
        <w:rPr>
          <w:lang w:val="ru-RU"/>
        </w:rPr>
        <w:t xml:space="preserve"> </w:t>
      </w:r>
      <w:bookmarkEnd w:id="12"/>
      <w:bookmarkEnd w:id="13"/>
    </w:p>
    <w:p w:rsidR="006B735B" w:rsidRDefault="00923252">
      <w:pPr>
        <w:spacing w:before="60"/>
        <w:jc w:val="both"/>
      </w:pPr>
      <w:r>
        <w:rPr>
          <w:rFonts w:eastAsia="Calibri"/>
          <w:color w:val="000000" w:themeColor="text1"/>
          <w:sz w:val="24"/>
          <w:szCs w:val="24"/>
        </w:rPr>
        <w:t>Продукция закупается с целью оснащения</w:t>
      </w:r>
      <w:r>
        <w:rPr>
          <w:rStyle w:val="af7"/>
          <w:rFonts w:eastAsia="Calibri"/>
          <w:bCs/>
          <w:color w:val="000000"/>
          <w:sz w:val="24"/>
          <w:szCs w:val="24"/>
        </w:rPr>
        <w:t xml:space="preserve"> необходимыми приборами контроля, связи, измерений и прочей аппаратуры  подразделений Филиала.</w:t>
      </w:r>
    </w:p>
    <w:p w:rsidR="006B735B" w:rsidRDefault="00923252">
      <w:pPr>
        <w:pStyle w:val="4"/>
        <w:spacing w:before="180"/>
        <w:ind w:left="0" w:firstLine="0"/>
      </w:pPr>
      <w:bookmarkStart w:id="14" w:name="_Toc134784046"/>
      <w:r>
        <w:rPr>
          <w:sz w:val="28"/>
          <w:szCs w:val="28"/>
        </w:rPr>
        <w:t xml:space="preserve">2. </w:t>
      </w:r>
      <w:bookmarkStart w:id="15" w:name="_Toc75446573"/>
      <w:bookmarkStart w:id="16" w:name="_Toc51339693"/>
      <w:r>
        <w:rPr>
          <w:sz w:val="28"/>
          <w:szCs w:val="28"/>
        </w:rPr>
        <w:t>Требования к продукции</w:t>
      </w:r>
      <w:bookmarkEnd w:id="14"/>
      <w:bookmarkEnd w:id="15"/>
      <w:bookmarkEnd w:id="16"/>
    </w:p>
    <w:p w:rsidR="006B735B" w:rsidRDefault="00923252">
      <w:pPr>
        <w:pStyle w:val="4"/>
        <w:ind w:left="720" w:firstLine="0"/>
      </w:pPr>
      <w:bookmarkStart w:id="17" w:name="_Toc134784047"/>
      <w:r>
        <w:t xml:space="preserve">2.1. </w:t>
      </w:r>
      <w:bookmarkStart w:id="1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</w:p>
    <w:p w:rsidR="006B735B" w:rsidRDefault="00923252">
      <w:pPr>
        <w:pStyle w:val="3"/>
        <w:ind w:firstLine="0"/>
      </w:pPr>
      <w:bookmarkStart w:id="19" w:name="_Toc134784048"/>
      <w:r>
        <w:rPr>
          <w:lang w:val="ru-RU"/>
        </w:rPr>
        <w:t xml:space="preserve">2.1.1 </w:t>
      </w:r>
      <w:bookmarkStart w:id="20" w:name="_Toc75446575"/>
      <w:r>
        <w:rPr>
          <w:lang w:val="ru-RU"/>
        </w:rPr>
        <w:t>Перечень и объем закупаемой продукции</w:t>
      </w:r>
      <w:bookmarkEnd w:id="20"/>
      <w:r>
        <w:rPr>
          <w:lang w:val="ru-RU"/>
        </w:rPr>
        <w:t>.</w:t>
      </w:r>
      <w:bookmarkEnd w:id="19"/>
    </w:p>
    <w:p w:rsidR="006B735B" w:rsidRDefault="00923252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51339695"/>
      <w:bookmarkStart w:id="22" w:name="_Toc75446576"/>
      <w:bookmarkStart w:id="23" w:name="_Toc122705682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21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22"/>
      <w:bookmarkEnd w:id="23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9978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3"/>
        <w:gridCol w:w="3974"/>
        <w:gridCol w:w="3411"/>
        <w:gridCol w:w="1143"/>
        <w:gridCol w:w="897"/>
      </w:tblGrid>
      <w:tr w:rsidR="006B735B" w:rsidTr="00923252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6B735B" w:rsidRDefault="00923252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keepNext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продукции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Марка, тип</w:t>
            </w:r>
            <w:r>
              <w:rPr>
                <w:color w:val="auto"/>
                <w:sz w:val="24"/>
                <w:szCs w:val="24"/>
                <w:lang w:val="en-US"/>
              </w:rPr>
              <w:t>, ГОСТ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</w:tr>
      <w:tr w:rsidR="006B735B" w:rsidTr="00923252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6B735B" w:rsidTr="00923252">
        <w:trPr>
          <w:trHeight w:val="671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Цифровой мультиметр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color w:val="000000"/>
                <w:sz w:val="24"/>
                <w:szCs w:val="24"/>
              </w:rPr>
              <w:t>26.51.43.110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Fluke 106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735B" w:rsidTr="009232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Тестер емкости </w:t>
            </w:r>
            <w:r>
              <w:rPr>
                <w:color w:val="000000"/>
                <w:sz w:val="24"/>
                <w:szCs w:val="24"/>
              </w:rPr>
              <w:t>аккумуляторных батарей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color w:val="000000"/>
                <w:sz w:val="24"/>
                <w:szCs w:val="24"/>
              </w:rPr>
              <w:t>26.51.43.119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ZKETECH EBD-B10H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735B" w:rsidTr="009232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Газоанализатор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 2 26.51.53.110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Портативный газоанализатор ПГ ЭРИС-414-2, 4 канала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735B" w:rsidTr="009232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Мультиметр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color w:val="000000"/>
                <w:sz w:val="24"/>
                <w:szCs w:val="24"/>
              </w:rPr>
              <w:t>26.51.43.110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Pro'sKit MT-1820 USB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000000"/>
                <w:sz w:val="24"/>
                <w:szCs w:val="24"/>
              </w:rPr>
              <w:t>эквивалент</w:t>
            </w:r>
          </w:p>
          <w:p w:rsidR="006B735B" w:rsidRDefault="006B735B">
            <w:pPr>
              <w:pStyle w:val="affff6"/>
              <w:rPr>
                <w:color w:val="000000"/>
                <w:sz w:val="24"/>
                <w:szCs w:val="24"/>
              </w:rPr>
            </w:pPr>
          </w:p>
          <w:p w:rsidR="006B735B" w:rsidRDefault="00923252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>СИ должно быть зарегистрировано в Федеральном информационном фонде (ФГИС «АРШИН») и иметь действующую первичную поверку на момент поставки.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735B" w:rsidTr="00923252"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Зарядное устройство</w:t>
            </w:r>
          </w:p>
          <w:p w:rsidR="006B735B" w:rsidRDefault="00923252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rStyle w:val="aff9"/>
                <w:b w:val="0"/>
                <w:bCs w:val="0"/>
                <w:color w:val="000000"/>
                <w:sz w:val="24"/>
                <w:szCs w:val="24"/>
              </w:rPr>
              <w:t>27.11.50.120</w:t>
            </w:r>
          </w:p>
        </w:tc>
        <w:tc>
          <w:tcPr>
            <w:tcW w:w="3411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Вымпел 02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или эквивалент </w:t>
            </w:r>
            <w:r>
              <w:rPr>
                <w:color w:val="000000"/>
                <w:sz w:val="24"/>
                <w:szCs w:val="24"/>
              </w:rPr>
              <w:t>Для 4-х Li-ion/Ni-MH/Ni-Cd бат</w:t>
            </w:r>
            <w:r>
              <w:rPr>
                <w:color w:val="000000"/>
                <w:sz w:val="24"/>
                <w:szCs w:val="24"/>
              </w:rPr>
              <w:t>арей 5232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35B" w:rsidTr="009232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Цифровой мультиметр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color w:val="000000"/>
                <w:sz w:val="24"/>
                <w:szCs w:val="24"/>
              </w:rPr>
              <w:t>26.51.43.110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ANENG AN8205C 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735B" w:rsidTr="009232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напряжения универсальный низковольтный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ОКПД 2 </w:t>
            </w:r>
            <w:r>
              <w:rPr>
                <w:color w:val="000000"/>
                <w:sz w:val="24"/>
                <w:szCs w:val="24"/>
              </w:rPr>
              <w:t>26.51.43.137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УНН-КОМБИ </w:t>
            </w:r>
            <w:r>
              <w:rPr>
                <w:color w:val="333333"/>
                <w:sz w:val="24"/>
                <w:szCs w:val="24"/>
              </w:rPr>
              <w:br/>
              <w:t>Тип указателей:</w:t>
            </w:r>
            <w:r>
              <w:rPr>
                <w:color w:val="333333"/>
                <w:sz w:val="24"/>
                <w:szCs w:val="24"/>
              </w:rPr>
              <w:br/>
              <w:t>Указатели низкого напряжения</w:t>
            </w:r>
            <w:r>
              <w:rPr>
                <w:color w:val="333333"/>
                <w:sz w:val="24"/>
                <w:szCs w:val="24"/>
              </w:rPr>
              <w:br/>
              <w:t xml:space="preserve">Номинальное рабочее напряжение </w:t>
            </w:r>
            <w:r>
              <w:rPr>
                <w:color w:val="333333"/>
                <w:sz w:val="24"/>
                <w:szCs w:val="24"/>
              </w:rPr>
              <w:t>указателей, кВ 0,38кВ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735B" w:rsidRDefault="00923252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B735B" w:rsidRDefault="00923252">
      <w:pPr>
        <w:spacing w:before="240" w:after="60"/>
        <w:rPr>
          <w:b/>
          <w:bCs/>
        </w:rPr>
      </w:pPr>
      <w:r>
        <w:rPr>
          <w:b/>
          <w:bCs/>
        </w:rPr>
        <w:t xml:space="preserve">2.1.2 </w:t>
      </w:r>
      <w:bookmarkStart w:id="24" w:name="_Hlk50465284"/>
      <w:r>
        <w:rPr>
          <w:b/>
          <w:bCs/>
        </w:rPr>
        <w:t xml:space="preserve">Требования по срокам </w:t>
      </w:r>
      <w:bookmarkEnd w:id="24"/>
      <w:r>
        <w:rPr>
          <w:b/>
          <w:bCs/>
        </w:rPr>
        <w:t>поставки продукции</w:t>
      </w:r>
    </w:p>
    <w:p w:rsidR="006B735B" w:rsidRDefault="00923252">
      <w:pPr>
        <w:spacing w:before="240" w:after="60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:rsidR="006B735B" w:rsidRDefault="00923252">
      <w:pPr>
        <w:spacing w:before="240" w:after="60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Окончание поставки продукции</w:t>
      </w:r>
      <w:r>
        <w:rPr>
          <w:i/>
          <w:iCs/>
          <w:color w:val="auto"/>
          <w:sz w:val="24"/>
          <w:szCs w:val="24"/>
        </w:rPr>
        <w:t xml:space="preserve">: в течении 120-и календарных дней со дня, следующего </w:t>
      </w:r>
      <w:r>
        <w:rPr>
          <w:i/>
          <w:iCs/>
          <w:color w:val="auto"/>
          <w:sz w:val="24"/>
          <w:szCs w:val="24"/>
        </w:rPr>
        <w:t>за днем заключения Догов</w:t>
      </w:r>
      <w:r>
        <w:rPr>
          <w:i/>
          <w:iCs/>
          <w:color w:val="auto"/>
          <w:sz w:val="24"/>
          <w:szCs w:val="24"/>
        </w:rPr>
        <w:t>ора</w:t>
      </w:r>
      <w:r>
        <w:rPr>
          <w:i/>
          <w:iCs/>
          <w:sz w:val="24"/>
          <w:szCs w:val="24"/>
          <w:lang w:eastAsia="x-none"/>
        </w:rPr>
        <w:t>).</w:t>
      </w:r>
    </w:p>
    <w:p w:rsidR="006B735B" w:rsidRDefault="00923252">
      <w:pPr>
        <w:shd w:val="clear" w:color="auto" w:fill="FFFFFF" w:themeFill="background1"/>
        <w:jc w:val="both"/>
        <w:rPr>
          <w:sz w:val="24"/>
          <w:szCs w:val="24"/>
          <w:lang w:eastAsia="x-none"/>
        </w:rPr>
        <w:sectPr w:rsidR="006B735B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>Поставка продукции осуществляется в один этап в рамках вышеуказанных сроков.</w:t>
      </w:r>
    </w:p>
    <w:p w:rsidR="006B735B" w:rsidRDefault="00923252">
      <w:pPr>
        <w:pStyle w:val="4"/>
        <w:ind w:left="720" w:firstLine="0"/>
        <w:rPr>
          <w:lang w:val="ru-RU"/>
        </w:rPr>
      </w:pPr>
      <w:bookmarkStart w:id="25" w:name="_Toc134784049"/>
      <w:r>
        <w:lastRenderedPageBreak/>
        <w:t xml:space="preserve">2.2. </w:t>
      </w:r>
      <w:bookmarkStart w:id="26" w:name="_Toc46743511"/>
      <w:bookmarkStart w:id="27" w:name="_Toc75446581"/>
      <w:bookmarkStart w:id="28" w:name="_Toc51339698"/>
      <w:bookmarkStart w:id="29" w:name="_Toc50125131"/>
      <w:r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5"/>
      <w:bookmarkEnd w:id="27"/>
    </w:p>
    <w:p w:rsidR="006B735B" w:rsidRDefault="00923252">
      <w:pPr>
        <w:pStyle w:val="4"/>
        <w:ind w:left="432" w:firstLine="0"/>
        <w:rPr>
          <w:b w:val="0"/>
          <w:bCs w:val="0"/>
        </w:rPr>
      </w:pPr>
      <w:bookmarkStart w:id="30" w:name="_Toc134784050"/>
      <w:r>
        <w:rPr>
          <w:b w:val="0"/>
          <w:bCs w:val="0"/>
        </w:rPr>
        <w:t xml:space="preserve">Участник в составе заявки должен </w:t>
      </w:r>
      <w:r>
        <w:rPr>
          <w:b w:val="0"/>
          <w:bCs w:val="0"/>
        </w:rPr>
        <w:t>представить Техническое предложение в формате Таблицы 2.</w:t>
      </w:r>
      <w:bookmarkEnd w:id="30"/>
    </w:p>
    <w:p w:rsidR="006B735B" w:rsidRDefault="00923252">
      <w:pPr>
        <w:pStyle w:val="1"/>
        <w:keepLines/>
        <w:spacing w:before="240"/>
        <w:ind w:left="0" w:firstLine="0"/>
        <w:rPr>
          <w:rStyle w:val="afb"/>
          <w:i w:val="0"/>
          <w:sz w:val="24"/>
          <w:szCs w:val="24"/>
          <w:shd w:val="clear" w:color="auto" w:fill="auto"/>
        </w:rPr>
      </w:pPr>
      <w:r>
        <w:rPr>
          <w:color w:val="302709"/>
          <w:sz w:val="24"/>
          <w:szCs w:val="24"/>
          <w:lang w:val="ru-RU"/>
        </w:rPr>
        <w:t xml:space="preserve"> </w:t>
      </w:r>
      <w:bookmarkStart w:id="31" w:name="_Toc134784051"/>
      <w:bookmarkStart w:id="32" w:name="_Toc75446582"/>
      <w:r>
        <w:rPr>
          <w:color w:val="302709"/>
          <w:sz w:val="24"/>
          <w:szCs w:val="24"/>
          <w:lang w:val="ru-RU"/>
        </w:rPr>
        <w:t>Таблица 2. Требования к продукции</w:t>
      </w:r>
      <w:bookmarkEnd w:id="28"/>
      <w:bookmarkEnd w:id="29"/>
      <w:bookmarkEnd w:id="31"/>
      <w:bookmarkEnd w:id="32"/>
    </w:p>
    <w:tbl>
      <w:tblPr>
        <w:tblW w:w="15174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66"/>
        <w:gridCol w:w="2789"/>
        <w:gridCol w:w="4999"/>
        <w:gridCol w:w="2503"/>
        <w:gridCol w:w="1984"/>
        <w:gridCol w:w="2133"/>
      </w:tblGrid>
      <w:tr w:rsidR="006B735B" w:rsidTr="00923252">
        <w:trPr>
          <w:tblHeader/>
        </w:trPr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B735B" w:rsidTr="00923252">
        <w:trPr>
          <w:tblHeader/>
        </w:trPr>
        <w:tc>
          <w:tcPr>
            <w:tcW w:w="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6B735B">
            <w:pPr>
              <w:widowControl w:val="0"/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6B735B">
            <w:pPr>
              <w:widowControl w:val="0"/>
            </w:pPr>
          </w:p>
        </w:tc>
        <w:tc>
          <w:tcPr>
            <w:tcW w:w="4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6B735B">
            <w:pPr>
              <w:widowControl w:val="0"/>
            </w:pP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6B735B">
            <w:pPr>
              <w:widowControl w:val="0"/>
            </w:pPr>
          </w:p>
        </w:tc>
      </w:tr>
      <w:tr w:rsidR="006B735B" w:rsidTr="00923252">
        <w:trPr>
          <w:tblHeader/>
        </w:trPr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33" w:name="_Toc53499667"/>
            <w:bookmarkEnd w:id="33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pStyle w:val="afa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Цифровой мультиметр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Цифровой мультиметр Fluke 106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br/>
              <w:t>Напряжение переменного тока 600 В</w:t>
            </w:r>
            <w:r>
              <w:rPr>
                <w:color w:val="000000"/>
                <w:sz w:val="24"/>
                <w:szCs w:val="24"/>
              </w:rPr>
              <w:br/>
              <w:t>Напряжение постоянного тока 600 В</w:t>
            </w:r>
            <w:r>
              <w:rPr>
                <w:color w:val="000000"/>
                <w:sz w:val="24"/>
                <w:szCs w:val="24"/>
              </w:rPr>
              <w:br/>
              <w:t>Емкость 1000 мкФ</w:t>
            </w:r>
            <w:r>
              <w:rPr>
                <w:color w:val="000000"/>
                <w:sz w:val="24"/>
                <w:szCs w:val="24"/>
              </w:rPr>
              <w:br/>
              <w:t>Переменный ток10 A</w:t>
            </w:r>
            <w:r>
              <w:rPr>
                <w:color w:val="000000"/>
                <w:sz w:val="24"/>
                <w:szCs w:val="24"/>
              </w:rPr>
              <w:br/>
              <w:t>Постоянный ток10 A</w:t>
            </w:r>
            <w:r>
              <w:rPr>
                <w:color w:val="000000"/>
                <w:sz w:val="24"/>
                <w:szCs w:val="24"/>
              </w:rPr>
              <w:br/>
              <w:t>Частота 500 Гц</w:t>
            </w:r>
            <w:r>
              <w:rPr>
                <w:color w:val="000000"/>
                <w:sz w:val="24"/>
                <w:szCs w:val="24"/>
              </w:rPr>
              <w:br/>
              <w:t xml:space="preserve">Сертификат Госреестра </w:t>
            </w:r>
            <w:r>
              <w:rPr>
                <w:color w:val="000000"/>
                <w:sz w:val="24"/>
                <w:szCs w:val="24"/>
              </w:rPr>
              <w:t>СИ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элемента питания 2 AAA, </w:t>
            </w:r>
            <w:r>
              <w:rPr>
                <w:color w:val="000000"/>
                <w:sz w:val="24"/>
                <w:szCs w:val="24"/>
              </w:rPr>
              <w:t>NEDA 24 А, IEC LR03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 батареи: минимум 200 часов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эксплуатации: от 0 °C до 40 °C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хранения: от -30 °C до +60 °C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1.2.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Тестер емкости аккумуляторных батарей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Тестер емкости аккумуляторных батарей ZKETECH EBD-B10H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br/>
              <w:t>Диапазон напряжения 0,10 - 89,00 с шагом 0,01 В</w:t>
            </w:r>
            <w:r>
              <w:rPr>
                <w:color w:val="000000"/>
                <w:sz w:val="24"/>
                <w:szCs w:val="24"/>
              </w:rPr>
              <w:br/>
              <w:t xml:space="preserve">Диапазон тока 0,50 - 10,00 А с шагом 0,01 А </w:t>
            </w:r>
            <w:r>
              <w:rPr>
                <w:color w:val="000000"/>
                <w:sz w:val="24"/>
                <w:szCs w:val="24"/>
              </w:rPr>
              <w:lastRenderedPageBreak/>
              <w:t>(для разряда аккумуляторных батарей</w:t>
            </w:r>
            <w:r>
              <w:rPr>
                <w:color w:val="000000"/>
                <w:sz w:val="24"/>
                <w:szCs w:val="24"/>
              </w:rPr>
              <w:t xml:space="preserve"> ниже 24 В, максимальный ток составляет 5 А)</w:t>
            </w:r>
            <w:r>
              <w:rPr>
                <w:color w:val="000000"/>
                <w:sz w:val="24"/>
                <w:szCs w:val="24"/>
              </w:rPr>
              <w:br/>
              <w:t>Мощность 850 Вт</w:t>
            </w:r>
            <w:r>
              <w:rPr>
                <w:color w:val="000000"/>
                <w:sz w:val="24"/>
                <w:szCs w:val="24"/>
              </w:rPr>
              <w:br/>
              <w:t>Режим работы при разряде</w:t>
            </w:r>
            <w:r>
              <w:rPr>
                <w:color w:val="000000"/>
                <w:sz w:val="24"/>
                <w:szCs w:val="24"/>
              </w:rPr>
              <w:br/>
              <w:t>DSC-CC (постоянный ток) тестер поддерживает разряд батареи при постоянном токе. Разряд прекращается, когда напряжение достигает значения ниже установленного.</w:t>
            </w:r>
            <w:r>
              <w:rPr>
                <w:color w:val="000000"/>
                <w:sz w:val="24"/>
                <w:szCs w:val="24"/>
              </w:rPr>
              <w:br/>
              <w:t>Точность изм</w:t>
            </w:r>
            <w:r>
              <w:rPr>
                <w:color w:val="000000"/>
                <w:sz w:val="24"/>
                <w:szCs w:val="24"/>
              </w:rPr>
              <w:t>ерения напряжения 0,5% ± 0,01 В</w:t>
            </w:r>
            <w:r>
              <w:rPr>
                <w:color w:val="000000"/>
                <w:sz w:val="24"/>
                <w:szCs w:val="24"/>
              </w:rPr>
              <w:br/>
              <w:t>Точность измерения тока 0,5% ± 0,01 А</w:t>
            </w:r>
            <w:r>
              <w:rPr>
                <w:color w:val="000000"/>
                <w:sz w:val="24"/>
                <w:szCs w:val="24"/>
              </w:rPr>
              <w:br/>
              <w:t>Дисплей ЖК, одновременное отображение напряжения, тока, емкости и времени</w:t>
            </w:r>
            <w:r>
              <w:rPr>
                <w:color w:val="000000"/>
                <w:sz w:val="24"/>
                <w:szCs w:val="24"/>
              </w:rPr>
              <w:br/>
              <w:t>Питание 100 - 240 В А</w:t>
            </w:r>
            <w:r>
              <w:rPr>
                <w:color w:val="000000"/>
                <w:sz w:val="24"/>
                <w:szCs w:val="24"/>
              </w:rPr>
              <w:br/>
              <w:t>Комплектация: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-блок нагрузки ZKETECH EBD-B10H – 1 шт</w:t>
            </w:r>
            <w:r>
              <w:rPr>
                <w:color w:val="000000"/>
                <w:sz w:val="24"/>
                <w:szCs w:val="24"/>
              </w:rPr>
              <w:br/>
              <w:t>-кабель питания – 1 шт</w:t>
            </w:r>
            <w:r>
              <w:rPr>
                <w:color w:val="000000"/>
                <w:sz w:val="24"/>
                <w:szCs w:val="24"/>
              </w:rPr>
              <w:br/>
              <w:t>-кабель USB-TT</w:t>
            </w:r>
            <w:r>
              <w:rPr>
                <w:color w:val="000000"/>
                <w:sz w:val="24"/>
                <w:szCs w:val="24"/>
              </w:rPr>
              <w:t>L – 1 шт</w:t>
            </w:r>
            <w:r>
              <w:rPr>
                <w:color w:val="000000"/>
                <w:sz w:val="24"/>
                <w:szCs w:val="24"/>
              </w:rPr>
              <w:br/>
              <w:t>-щупы - 1 комплект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подробное техническое описание предлагаемого к поставке эквивалента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Газоанализатор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Портативный газоанализатор ПГ ЭРИС-414-2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>, 4 канала: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термокаталитический сенсор на горючие газы (поверка на Водород 0-50 % НКПР); инфракрасный сенсор на горючие газы (поверка на Метан 0-50 % НКПР); Кислород; Монооксид углерода;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Способ отбора пробы: Диффузионный,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принудительный (опционально)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Используемые сенс</w:t>
            </w:r>
            <w:r>
              <w:rPr>
                <w:color w:val="000000"/>
                <w:sz w:val="24"/>
                <w:szCs w:val="24"/>
              </w:rPr>
              <w:t>оры: Инфракрасный, Термокаталитический, Электрохимический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Фотоионизационный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сенсора: 4R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Встроенные датчики:  Температуры, Давления, Неподвижности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Индикация: Светодиоды состояния, Морозоустойчивый ОLЕD-дисплей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Сигналы тревоги: Световая сигнализация —</w:t>
            </w:r>
            <w:r>
              <w:rPr>
                <w:color w:val="000000"/>
                <w:sz w:val="24"/>
                <w:szCs w:val="24"/>
              </w:rPr>
              <w:t xml:space="preserve"> 360°, Звуковая - 100 дБ, Вибрация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 от аккумулятора: До 20 часов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зарядки: До 2 часов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Регистратор данных: До 20 000 событий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 взрывозащиты: 0Ex ia IIC T4 Ga X РО Ex ia I Ma X / 0Ex ia IIC T4 Ga X / Ex ia IIIC T135°С Da X РО Ex da ia I </w:t>
            </w:r>
            <w:r>
              <w:rPr>
                <w:color w:val="000000"/>
                <w:sz w:val="24"/>
                <w:szCs w:val="24"/>
              </w:rPr>
              <w:t>Ma X / 0Ex da ia IIC T4 Ga X</w:t>
            </w:r>
          </w:p>
          <w:p w:rsidR="006B735B" w:rsidRDefault="006B735B">
            <w:pPr>
              <w:pStyle w:val="affff6"/>
              <w:rPr>
                <w:color w:val="000000"/>
                <w:sz w:val="24"/>
                <w:szCs w:val="24"/>
              </w:rPr>
            </w:pP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защиты: lP66/IP67 и IP66/IP68</w:t>
            </w:r>
            <w:r>
              <w:rPr>
                <w:color w:val="000000"/>
                <w:sz w:val="24"/>
                <w:szCs w:val="24"/>
              </w:rPr>
              <w:br/>
              <w:t>В комплекте:</w:t>
            </w:r>
            <w:r>
              <w:rPr>
                <w:color w:val="000000"/>
                <w:sz w:val="24"/>
                <w:szCs w:val="24"/>
              </w:rPr>
              <w:br/>
              <w:t>- Ручной насос с телескопическим зондом для</w:t>
            </w:r>
            <w:r>
              <w:rPr>
                <w:color w:val="000000"/>
                <w:sz w:val="24"/>
                <w:szCs w:val="24"/>
              </w:rPr>
              <w:br/>
              <w:t>газоанализаторов портативных ПГ ЭРИС-414, ПГ ЭРИС411 ;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color w:val="000000"/>
                <w:sz w:val="24"/>
                <w:szCs w:val="24"/>
              </w:rPr>
              <w:t xml:space="preserve">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предлагаемого к поставке эквивалента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735B" w:rsidTr="00923252">
        <w:tc>
          <w:tcPr>
            <w:tcW w:w="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1.4.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Мультиметр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Мультиметр Pro'sKit MT-1820 USB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Емкость: 40 нФ(±5%), 400 нФ/4 мкФ/40 мкФ(±3.5%), 200 мкФ(±5%)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переменного тока (AC): 6 В/60 В/600 В(±0.8%), 750 В(±1%)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постоянного тока (DC): 600 мВ/6 В/60 В/600 В(±0.5%), 1000 В(±1%)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Особенности: USB разъем для подключению к ПК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Переменный ток (AC): 600 мкА/6000 мкА(±1.5%), 60 мА/600 мА(±1.5%), 6 А/10 A(±2%)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Постоянный ток (DC): 600 мкА/6000 мкА(±1%), 60 мА/600 </w:t>
            </w:r>
            <w:r>
              <w:rPr>
                <w:color w:val="000000"/>
                <w:sz w:val="24"/>
                <w:szCs w:val="24"/>
              </w:rPr>
              <w:t>мА(±1%), 6 А/10 A(±1.2%)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диодов: Да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транзисторов: Да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Сопротивление: 600 Ом(±0.8%), 6 кОм/60 кОм/600 кОм/6 МОм(±0.8%), 60 МОм(±1.2%)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Температура:</w:t>
            </w:r>
            <w:r>
              <w:rPr>
                <w:color w:val="000000"/>
                <w:sz w:val="24"/>
                <w:szCs w:val="24"/>
              </w:rPr>
              <w:tab/>
              <w:t xml:space="preserve"> -20˚C-400˚C(±1%), 400˚C-1000˚C(±1.5%)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Частота: 100 Гц/1000 Гц(±0.5%), 10 кГц/100 кГц(±0.5%),</w:t>
            </w:r>
            <w:r>
              <w:rPr>
                <w:color w:val="000000"/>
                <w:sz w:val="24"/>
                <w:szCs w:val="24"/>
              </w:rPr>
              <w:t xml:space="preserve"> 1 МГц/30 МГц(±0.5%)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Питание: 2 × 1,5 В AAA</w:t>
            </w:r>
          </w:p>
          <w:p w:rsidR="006B735B" w:rsidRDefault="006B735B">
            <w:pPr>
              <w:pStyle w:val="affff6"/>
              <w:rPr>
                <w:color w:val="000000"/>
                <w:sz w:val="24"/>
                <w:szCs w:val="24"/>
              </w:rPr>
            </w:pPr>
          </w:p>
          <w:p w:rsidR="006B735B" w:rsidRDefault="00923252">
            <w:pPr>
              <w:pStyle w:val="affff6"/>
            </w:pPr>
            <w:r>
              <w:rPr>
                <w:color w:val="000000"/>
                <w:sz w:val="24"/>
                <w:szCs w:val="24"/>
              </w:rPr>
              <w:lastRenderedPageBreak/>
              <w:t>СИ должно быть зарегистрировано в Федеральном информационном фонде (ФГИС «АРШИН») и иметь действующую первичную поверку на момент поставки.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</w:t>
            </w:r>
            <w:r>
              <w:rPr>
                <w:i/>
                <w:color w:val="000000"/>
                <w:sz w:val="24"/>
                <w:szCs w:val="24"/>
              </w:rPr>
              <w:t>ехническое описание предлагаемого к поставке эквивалента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</w:pPr>
          </w:p>
        </w:tc>
      </w:tr>
      <w:tr w:rsidR="006B735B" w:rsidTr="00923252">
        <w:tc>
          <w:tcPr>
            <w:tcW w:w="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t>1.5.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Зарядное устройство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Вымпел 02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или эквивалент </w:t>
            </w:r>
            <w:r>
              <w:rPr>
                <w:color w:val="000000"/>
                <w:sz w:val="24"/>
                <w:szCs w:val="24"/>
              </w:rPr>
              <w:t>Для 4-х Li-ion/Ni-MH/Ni-Cd батарей 5232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каналов заряда: 4 шт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Ток заряда: 2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Индикатор: светодиодные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Аккумуляторы в комплекте: нет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</w:t>
            </w:r>
            <w:r>
              <w:rPr>
                <w:color w:val="000000"/>
                <w:sz w:val="24"/>
                <w:szCs w:val="24"/>
              </w:rPr>
              <w:t>заряжаемых аккумуляторов: Ni-Cd; NI-Mh; Li-Ion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Питание: 5 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 заряжаемых аккумуляторов: 26650, 22650, 18650, 18500, 17670, 17500, 16340 (RCR123A), 14500 (АА), 10440, 18490, 17335, 21700, 20700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</w:t>
            </w:r>
            <w:r>
              <w:rPr>
                <w:i/>
                <w:color w:val="000000"/>
                <w:sz w:val="24"/>
                <w:szCs w:val="24"/>
              </w:rPr>
              <w:t>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</w:pPr>
          </w:p>
        </w:tc>
      </w:tr>
      <w:tr w:rsidR="006B735B" w:rsidTr="00923252">
        <w:tc>
          <w:tcPr>
            <w:tcW w:w="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Цифровой мультиметр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ANENG AN8205C 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пределов измерений: ручной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Постоянное напряжение (DC) 200 мВ, точность ± (0,8% + 3), разрешение 100 мкВ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В, точность</w:t>
            </w:r>
            <w:r>
              <w:rPr>
                <w:color w:val="000000"/>
                <w:sz w:val="24"/>
                <w:szCs w:val="24"/>
              </w:rPr>
              <w:t xml:space="preserve"> ± (0,8% + 3), разрешение 1мВ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В, точность ± (0,8% + 3), разрешение 10 мВ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В, точность ± (0,8% + 3), разрешение 100 мВ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 В, точность ± (0,8% + 4), разрешение 1 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Переменное напряжение (AC) 200 В, точность ± (0,8% + 3), разрешение 100 мВ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600 В, </w:t>
            </w:r>
            <w:r>
              <w:rPr>
                <w:color w:val="000000"/>
                <w:sz w:val="24"/>
                <w:szCs w:val="24"/>
              </w:rPr>
              <w:t>точность ± (1,2% + 3), разрешение 1В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Постоянный ток (DC) 2 мА, точность ± (1.2% + 2), разрешение 1 мкА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мА, точность ± (1.2% + 2), разрешение 10 мкА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мА, точность ± (1.4% + 2), разрешение 10 мА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А, точность ± (2.0% + 2), разрешение 10 мА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Сопротивлен</w:t>
            </w:r>
            <w:r>
              <w:rPr>
                <w:color w:val="000000"/>
                <w:sz w:val="24"/>
                <w:szCs w:val="24"/>
              </w:rPr>
              <w:t>ие 200 Ом, точность ± (1,0% + 2), разрешение 0,1 Ом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кОм, точность ± (0,8% + 2), разрешение 1 Ом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кОм, точность ± (0,8% + 2), разрешение 10 Ом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кОм, точность ± (0,8% + 2), разрешение 100 Ом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MОм, точность ± (0,8% + 2), разрешение 1 кОм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диод</w:t>
            </w:r>
            <w:r>
              <w:rPr>
                <w:color w:val="000000"/>
                <w:sz w:val="24"/>
                <w:szCs w:val="24"/>
              </w:rPr>
              <w:t>а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транзисторов(hFE)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Звуковая прозвонка электрических цепей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температуры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хранения данных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Встроенная подсветка есть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Дисплей ЖК-дисплей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 батарея 6F22 9V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Комплектация: мультиметр  – 1 шт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измерительные </w:t>
            </w:r>
            <w:r>
              <w:rPr>
                <w:color w:val="000000"/>
                <w:sz w:val="24"/>
                <w:szCs w:val="24"/>
              </w:rPr>
              <w:t>щупы – 1 комплект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 - 1 шт</w:t>
            </w:r>
          </w:p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 измерения температуры - 1 шт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6B735B" w:rsidRDefault="009232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эквивалента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735B" w:rsidTr="00923252">
        <w:tc>
          <w:tcPr>
            <w:tcW w:w="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1.7.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Указатель напряжения </w:t>
            </w:r>
            <w:r>
              <w:rPr>
                <w:sz w:val="24"/>
                <w:szCs w:val="24"/>
              </w:rPr>
              <w:t>универсальный низковольтный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УНН-КОМБИ </w:t>
            </w:r>
            <w:r>
              <w:rPr>
                <w:color w:val="000000"/>
                <w:sz w:val="24"/>
                <w:szCs w:val="24"/>
              </w:rPr>
              <w:br/>
              <w:t>Масса (кг) 0,2</w:t>
            </w:r>
            <w:r>
              <w:rPr>
                <w:color w:val="000000"/>
                <w:sz w:val="24"/>
                <w:szCs w:val="24"/>
              </w:rPr>
              <w:br/>
              <w:t>Тип указателей: Указатели низкого напряжения</w:t>
            </w:r>
            <w:r>
              <w:rPr>
                <w:color w:val="000000"/>
                <w:sz w:val="24"/>
                <w:szCs w:val="24"/>
              </w:rPr>
              <w:br/>
              <w:t>Номинальное рабочее напряжение указателей кВ: 0,38кВ</w:t>
            </w:r>
            <w:r>
              <w:rPr>
                <w:color w:val="000000"/>
                <w:sz w:val="24"/>
                <w:szCs w:val="24"/>
              </w:rPr>
              <w:br/>
              <w:t>Тип индикации указателей: дискретная, звуковая</w:t>
            </w:r>
            <w:r>
              <w:rPr>
                <w:color w:val="000000"/>
                <w:sz w:val="24"/>
                <w:szCs w:val="24"/>
              </w:rPr>
              <w:br/>
              <w:t>Метод измерения: контактный</w:t>
            </w:r>
            <w:r>
              <w:rPr>
                <w:color w:val="000000"/>
                <w:sz w:val="24"/>
                <w:szCs w:val="24"/>
              </w:rPr>
              <w:br/>
              <w:t>Определение полярности постоя</w:t>
            </w:r>
            <w:r>
              <w:rPr>
                <w:color w:val="000000"/>
                <w:sz w:val="24"/>
                <w:szCs w:val="24"/>
              </w:rPr>
              <w:t>нного тока: да</w:t>
            </w:r>
            <w:r>
              <w:rPr>
                <w:color w:val="000000"/>
                <w:sz w:val="24"/>
                <w:szCs w:val="24"/>
              </w:rPr>
              <w:br/>
              <w:t>Определение фазы переменного тока: да</w:t>
            </w:r>
            <w:r>
              <w:rPr>
                <w:color w:val="000000"/>
                <w:sz w:val="24"/>
                <w:szCs w:val="24"/>
              </w:rPr>
              <w:br/>
              <w:t>Количество полюсов: 2</w:t>
            </w:r>
            <w:r>
              <w:rPr>
                <w:color w:val="000000"/>
                <w:sz w:val="24"/>
                <w:szCs w:val="24"/>
              </w:rPr>
              <w:br/>
              <w:t>Порог срабатывания индикации не более, кВ: 0,012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6B735B" w:rsidRDefault="006B735B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Место поставки </w:t>
            </w:r>
            <w:r>
              <w:rPr>
                <w:sz w:val="24"/>
                <w:szCs w:val="24"/>
                <w:lang w:val="en-US"/>
              </w:rPr>
              <w:t>продукции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617760, Пермский край, Чайковский городской округ, г.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 xml:space="preserve">Чайковский, территория Воткинской ГЭС, </w:t>
            </w:r>
            <w:r>
              <w:rPr>
                <w:sz w:val="24"/>
                <w:szCs w:val="24"/>
              </w:rPr>
              <w:lastRenderedPageBreak/>
              <w:t>д.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>1/2.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rPr>
                <w:rFonts w:eastAsia="Calibri"/>
                <w:sz w:val="24"/>
                <w:szCs w:val="24"/>
                <w:lang w:val="en-US" w:eastAsia="x-none"/>
              </w:rPr>
            </w:pPr>
          </w:p>
        </w:tc>
      </w:tr>
      <w:tr w:rsidR="006B735B" w:rsidTr="00923252">
        <w:tc>
          <w:tcPr>
            <w:tcW w:w="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>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6B735B" w:rsidRDefault="009232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</w:t>
            </w:r>
            <w:r>
              <w:rPr>
                <w:sz w:val="24"/>
                <w:szCs w:val="24"/>
              </w:rPr>
              <w:t>ть Заказчик не несет.</w:t>
            </w:r>
          </w:p>
          <w:p w:rsidR="006B735B" w:rsidRDefault="009232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</w:t>
            </w:r>
            <w:r>
              <w:rPr>
                <w:sz w:val="24"/>
                <w:szCs w:val="24"/>
              </w:rPr>
              <w:t>времени, предшествующего дню поставки.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Упаковка не должна быть нарушена или повреждена.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ТОРГ-12. Стандартный образцы имеющие ограниченный срок использования ( менее 5 лет) должны быть изготовлены</w:t>
            </w:r>
            <w:r>
              <w:rPr>
                <w:color w:val="000000"/>
                <w:sz w:val="24"/>
                <w:szCs w:val="24"/>
              </w:rPr>
              <w:t xml:space="preserve"> не ран</w:t>
            </w:r>
            <w:r>
              <w:rPr>
                <w:color w:val="000000"/>
                <w:sz w:val="24"/>
                <w:szCs w:val="24"/>
              </w:rPr>
              <w:t>ее, чем за полгода до поставки.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4.1.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соответствия продукции от завода-изготовителя. Сертификаты соответствия должны быть выданы отраслевыми органами сертификации и заверены печатью Поставщика.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B735B" w:rsidRDefault="00923252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Прочие </w:t>
            </w:r>
            <w:r>
              <w:rPr>
                <w:b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</w:tr>
      <w:tr w:rsidR="006B735B" w:rsidTr="00923252"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pStyle w:val="afa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 1875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Национальный режим не предоставляется.</w:t>
            </w:r>
          </w:p>
          <w:p w:rsidR="006B735B" w:rsidRDefault="009232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>казать страну происхождения товара в коммерческом предложении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923252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В качестве подтверждения Российского происхождения товара необходимо </w:t>
            </w:r>
            <w:r>
              <w:rPr>
                <w:i/>
                <w:sz w:val="24"/>
                <w:szCs w:val="24"/>
              </w:rPr>
              <w:lastRenderedPageBreak/>
              <w:t>указать номера реестровых записей из реестра российской пром</w:t>
            </w:r>
            <w:r>
              <w:rPr>
                <w:i/>
                <w:sz w:val="24"/>
                <w:szCs w:val="24"/>
              </w:rPr>
              <w:t>ышленной продукции или евразийского реестра промышленных товаров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735B" w:rsidRDefault="006B735B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6B735B" w:rsidRDefault="006B735B">
      <w:pPr>
        <w:sectPr w:rsidR="006B735B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B735B" w:rsidRDefault="00923252">
      <w:pPr>
        <w:pStyle w:val="Standard"/>
        <w:spacing w:after="60"/>
        <w:ind w:left="426"/>
        <w:jc w:val="both"/>
      </w:pPr>
      <w:bookmarkStart w:id="34" w:name="_Toc134784052"/>
      <w:r>
        <w:rPr>
          <w:b/>
          <w:iCs/>
          <w:sz w:val="24"/>
          <w:szCs w:val="24"/>
        </w:rPr>
        <w:lastRenderedPageBreak/>
        <w:t>2.2.1. В составе заявки необходимо предоставить:</w:t>
      </w:r>
    </w:p>
    <w:p w:rsidR="006B735B" w:rsidRDefault="00923252">
      <w:pPr>
        <w:pStyle w:val="Standard"/>
        <w:spacing w:after="60"/>
        <w:ind w:firstLine="426"/>
        <w:jc w:val="both"/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предлагаемой </w:t>
      </w:r>
      <w:r>
        <w:rPr>
          <w:iCs/>
          <w:sz w:val="24"/>
          <w:szCs w:val="24"/>
        </w:rPr>
        <w:t>продукции требованиям настоящих ТТ, предоставляет следующие документы:</w:t>
      </w:r>
    </w:p>
    <w:p w:rsidR="006B735B" w:rsidRDefault="00923252">
      <w:pPr>
        <w:pStyle w:val="afa"/>
        <w:numPr>
          <w:ilvl w:val="0"/>
          <w:numId w:val="3"/>
        </w:numPr>
        <w:tabs>
          <w:tab w:val="left" w:pos="426"/>
        </w:tabs>
        <w:spacing w:after="60"/>
        <w:ind w:left="0" w:firstLine="0"/>
        <w:contextualSpacing w:val="0"/>
        <w:jc w:val="both"/>
        <w:textAlignment w:val="baseline"/>
      </w:pPr>
      <w:r>
        <w:rPr>
          <w:iCs/>
        </w:rPr>
        <w:t>Техническое предложение, по форме Таблицы 2 настоящих ТТ с заполненным столбцом 6 «</w:t>
      </w:r>
      <w:r>
        <w:rPr>
          <w:rFonts w:eastAsia="Times New Roman"/>
          <w:bCs/>
        </w:rPr>
        <w:t>Предложение Участника по характеристикам и параметрам»</w:t>
      </w:r>
      <w:r>
        <w:rPr>
          <w:iCs/>
        </w:rPr>
        <w:t>.</w:t>
      </w:r>
    </w:p>
    <w:p w:rsidR="006B735B" w:rsidRDefault="00923252">
      <w:pPr>
        <w:pStyle w:val="4"/>
        <w:spacing w:before="1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35" w:name="_Toc53393312"/>
      <w:bookmarkStart w:id="36" w:name="_Toc75446583"/>
      <w:bookmarkStart w:id="37" w:name="_Toc46743519"/>
      <w:bookmarkStart w:id="38" w:name="_Toc51339699"/>
      <w:r>
        <w:rPr>
          <w:sz w:val="28"/>
          <w:szCs w:val="28"/>
        </w:rPr>
        <w:t xml:space="preserve">Требования к документации по </w:t>
      </w:r>
      <w:r>
        <w:rPr>
          <w:sz w:val="28"/>
          <w:szCs w:val="28"/>
        </w:rPr>
        <w:t>ценообразованию</w:t>
      </w:r>
      <w:bookmarkEnd w:id="35"/>
      <w:r>
        <w:rPr>
          <w:sz w:val="28"/>
          <w:szCs w:val="28"/>
        </w:rPr>
        <w:t xml:space="preserve"> на этапе закупки</w:t>
      </w:r>
      <w:bookmarkEnd w:id="36"/>
      <w:r>
        <w:rPr>
          <w:sz w:val="28"/>
          <w:szCs w:val="28"/>
        </w:rPr>
        <w:t>.</w:t>
      </w:r>
      <w:bookmarkEnd w:id="34"/>
    </w:p>
    <w:p w:rsidR="006B735B" w:rsidRDefault="0092325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  <w:bookmarkStart w:id="39" w:name="_GoBack"/>
      <w:bookmarkEnd w:id="37"/>
      <w:bookmarkEnd w:id="38"/>
      <w:bookmarkEnd w:id="39"/>
    </w:p>
    <w:sectPr w:rsidR="006B735B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3252">
      <w:r>
        <w:separator/>
      </w:r>
    </w:p>
  </w:endnote>
  <w:endnote w:type="continuationSeparator" w:id="0">
    <w:p w:rsidR="00000000" w:rsidRDefault="0092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3252">
      <w:r>
        <w:separator/>
      </w:r>
    </w:p>
  </w:footnote>
  <w:footnote w:type="continuationSeparator" w:id="0">
    <w:p w:rsidR="00000000" w:rsidRDefault="0092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923252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6B735B">
    <w:pPr>
      <w:pStyle w:val="a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923252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6B735B">
    <w:pPr>
      <w:pStyle w:val="a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923252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5B" w:rsidRDefault="006B735B">
    <w:pPr>
      <w:pStyle w:val="a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75B"/>
    <w:multiLevelType w:val="multilevel"/>
    <w:tmpl w:val="2D1849A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C3A47DB"/>
    <w:multiLevelType w:val="multilevel"/>
    <w:tmpl w:val="CF4AE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A33BC9"/>
    <w:multiLevelType w:val="multilevel"/>
    <w:tmpl w:val="AB1A7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E91579D"/>
    <w:multiLevelType w:val="multilevel"/>
    <w:tmpl w:val="BE4AC7D2"/>
    <w:lvl w:ilvl="0"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5B"/>
    <w:rsid w:val="006B735B"/>
    <w:rsid w:val="009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4FD1"/>
  <w15:docId w15:val="{A9603FD8-AF25-4BDC-B403-193B858D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AA0DB2"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uiPriority w:val="99"/>
    <w:unhideWhenUsed/>
    <w:qFormat/>
    <w:rsid w:val="00627D9A"/>
    <w:rPr>
      <w:color w:val="0563C1" w:themeColor="hyperlink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7">
    <w:name w:val="Название Знак"/>
    <w:link w:val="12"/>
    <w:qFormat/>
    <w:rPr>
      <w:sz w:val="28"/>
    </w:rPr>
  </w:style>
  <w:style w:type="character" w:customStyle="1" w:styleId="a8">
    <w:name w:val="Подзаголовок Знак"/>
    <w:link w:val="a9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link w:val="ac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Intense Emphasis"/>
    <w:qFormat/>
    <w:rPr>
      <w:b/>
      <w:bCs/>
      <w:i/>
      <w:iCs/>
      <w:color w:val="4F81BD"/>
    </w:rPr>
  </w:style>
  <w:style w:type="character" w:styleId="af">
    <w:name w:val="Subtle Reference"/>
    <w:qFormat/>
    <w:rPr>
      <w:smallCaps/>
      <w:color w:val="C0504D"/>
      <w:u w:val="single"/>
    </w:rPr>
  </w:style>
  <w:style w:type="character" w:styleId="af0">
    <w:name w:val="Intense Reference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qFormat/>
    <w:rPr>
      <w:b/>
      <w:bCs/>
      <w:smallCaps/>
      <w:spacing w:val="5"/>
    </w:rPr>
  </w:style>
  <w:style w:type="character" w:customStyle="1" w:styleId="af2">
    <w:name w:val="Электронная подпись Знак"/>
    <w:link w:val="af3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4"/>
    <w:qFormat/>
    <w:rPr>
      <w:sz w:val="28"/>
    </w:rPr>
  </w:style>
  <w:style w:type="character" w:customStyle="1" w:styleId="af5">
    <w:name w:val="Текст сноски Знак"/>
    <w:link w:val="af6"/>
    <w:uiPriority w:val="99"/>
    <w:qFormat/>
  </w:style>
  <w:style w:type="character" w:customStyle="1" w:styleId="af7">
    <w:name w:val="Основной текст Знак"/>
    <w:link w:val="af8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9">
    <w:name w:val="Абзац списка Знак"/>
    <w:link w:val="afa"/>
    <w:qFormat/>
    <w:rPr>
      <w:rFonts w:eastAsia="Calibri"/>
      <w:sz w:val="24"/>
      <w:szCs w:val="24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link w:val="afd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e">
    <w:name w:val="Верхний колонтитул Знак"/>
    <w:link w:val="aff"/>
    <w:qFormat/>
    <w:rPr>
      <w:sz w:val="24"/>
      <w:szCs w:val="24"/>
    </w:rPr>
  </w:style>
  <w:style w:type="character" w:customStyle="1" w:styleId="aff0">
    <w:name w:val="Текст примечания Знак"/>
    <w:link w:val="aff1"/>
    <w:qFormat/>
  </w:style>
  <w:style w:type="character" w:customStyle="1" w:styleId="aff2">
    <w:name w:val="Текст концевой сноски Знак"/>
    <w:basedOn w:val="a0"/>
    <w:link w:val="EndnoteSymbol"/>
    <w:qFormat/>
  </w:style>
  <w:style w:type="character" w:customStyle="1" w:styleId="aff3">
    <w:name w:val="Символ концевой сноски"/>
    <w:qFormat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5">
    <w:name w:val="Ссылка указателя"/>
    <w:qFormat/>
  </w:style>
  <w:style w:type="character" w:customStyle="1" w:styleId="16">
    <w:name w:val="Номер строки1"/>
    <w:qFormat/>
  </w:style>
  <w:style w:type="character" w:styleId="aff6">
    <w:name w:val="Hyperlink"/>
    <w:uiPriority w:val="99"/>
    <w:rPr>
      <w:color w:val="000080"/>
      <w:u w:val="single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7">
    <w:name w:val="line number"/>
  </w:style>
  <w:style w:type="character" w:customStyle="1" w:styleId="aff8">
    <w:name w:val="Маркеры"/>
    <w:qFormat/>
    <w:rPr>
      <w:rFonts w:ascii="OpenSymbol" w:eastAsia="OpenSymbol" w:hAnsi="OpenSymbol" w:cs="OpenSymbol"/>
    </w:rPr>
  </w:style>
  <w:style w:type="character" w:styleId="aff9">
    <w:name w:val="Strong"/>
    <w:qFormat/>
    <w:rPr>
      <w:b/>
      <w:bCs/>
    </w:rPr>
  </w:style>
  <w:style w:type="paragraph" w:styleId="affa">
    <w:name w:val="Title"/>
    <w:basedOn w:val="a"/>
    <w:next w:val="af8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8">
    <w:name w:val="Body Text"/>
    <w:basedOn w:val="a"/>
    <w:link w:val="af7"/>
    <w:pPr>
      <w:spacing w:after="120"/>
    </w:pPr>
  </w:style>
  <w:style w:type="paragraph" w:styleId="affb">
    <w:name w:val="List"/>
    <w:basedOn w:val="af8"/>
  </w:style>
  <w:style w:type="paragraph" w:styleId="aff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d">
    <w:name w:val="index heading"/>
    <w:basedOn w:val="affa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a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a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a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a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a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a"/>
    <w:qFormat/>
  </w:style>
  <w:style w:type="paragraph" w:customStyle="1" w:styleId="caption1111111">
    <w:name w:val="caption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">
    <w:name w:val="index heading1111111"/>
    <w:basedOn w:val="affa"/>
    <w:qFormat/>
  </w:style>
  <w:style w:type="paragraph" w:customStyle="1" w:styleId="affe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0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6">
    <w:name w:val="footnote text"/>
    <w:basedOn w:val="a"/>
    <w:link w:val="af5"/>
    <w:uiPriority w:val="99"/>
    <w:rPr>
      <w:sz w:val="20"/>
      <w:szCs w:val="20"/>
    </w:rPr>
  </w:style>
  <w:style w:type="paragraph" w:customStyle="1" w:styleId="17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7"/>
    <w:qFormat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"/>
    <w:qFormat/>
  </w:style>
  <w:style w:type="paragraph" w:styleId="aff">
    <w:name w:val="header"/>
    <w:basedOn w:val="a"/>
    <w:link w:val="af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"/>
    <w:pPr>
      <w:ind w:left="360"/>
    </w:pPr>
    <w:rPr>
      <w:sz w:val="24"/>
      <w:szCs w:val="24"/>
    </w:rPr>
  </w:style>
  <w:style w:type="paragraph" w:styleId="afff3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4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5">
    <w:name w:val="Раздел регламента"/>
    <w:basedOn w:val="a"/>
    <w:qFormat/>
  </w:style>
  <w:style w:type="paragraph" w:customStyle="1" w:styleId="afff6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annotation text"/>
    <w:basedOn w:val="a"/>
    <w:link w:val="aff0"/>
    <w:qFormat/>
    <w:rPr>
      <w:sz w:val="20"/>
      <w:szCs w:val="20"/>
    </w:rPr>
  </w:style>
  <w:style w:type="paragraph" w:styleId="afff8">
    <w:name w:val="annotation subject"/>
    <w:basedOn w:val="aff1"/>
    <w:qFormat/>
    <w:rPr>
      <w:b/>
      <w:bCs/>
    </w:rPr>
  </w:style>
  <w:style w:type="paragraph" w:customStyle="1" w:styleId="19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9">
    <w:name w:val="Subtitle"/>
    <w:basedOn w:val="a"/>
    <w:next w:val="a"/>
    <w:link w:val="a8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a">
    <w:name w:val="List Paragraph"/>
    <w:basedOn w:val="a"/>
    <w:link w:val="af9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c">
    <w:name w:val="Intense Quote"/>
    <w:basedOn w:val="a"/>
    <w:next w:val="a"/>
    <w:link w:val="ab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3">
    <w:name w:val="E-mail Signature"/>
    <w:basedOn w:val="a"/>
    <w:link w:val="af2"/>
    <w:qFormat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1">
    <w:name w:val="Подподпункт"/>
    <w:basedOn w:val="af4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2">
    <w:name w:val="УРОВЕНЬ_(а)"/>
    <w:basedOn w:val="afa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a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a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a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3">
    <w:name w:val="УРОВЕНЬ_Подпись"/>
    <w:basedOn w:val="afa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2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d">
    <w:name w:val="Таблица текст"/>
    <w:basedOn w:val="a"/>
    <w:link w:val="afc"/>
    <w:qFormat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a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5">
    <w:name w:val="Содержимое врезки"/>
    <w:basedOn w:val="a"/>
    <w:qFormat/>
  </w:style>
  <w:style w:type="paragraph" w:customStyle="1" w:styleId="affff6">
    <w:name w:val="Содержимое таблицы"/>
    <w:basedOn w:val="a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54E7B"/>
    <w:pPr>
      <w:textAlignment w:val="baseline"/>
    </w:pPr>
    <w:rPr>
      <w:sz w:val="28"/>
      <w:szCs w:val="28"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9D88-2489-4F78-9A9E-6BFA9A36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2026-05-13T16:26:00Z</cp:lastPrinted>
  <dcterms:created xsi:type="dcterms:W3CDTF">2026-06-16T09:38:00Z</dcterms:created>
  <dcterms:modified xsi:type="dcterms:W3CDTF">2026-06-16T09:38:00Z</dcterms:modified>
  <dc:language>ru-RU</dc:language>
</cp:coreProperties>
</file>