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ind w:firstLine="708"/>
        <w:jc w:val="center"/>
        <w:rPr/>
      </w:pPr>
      <w:r>
        <w:rPr>
          <w:rFonts w:eastAsia="Calibri"/>
          <w:b/>
          <w:sz w:val="26"/>
          <w:szCs w:val="26"/>
        </w:rPr>
        <w:t xml:space="preserve">ОКПД2 27.11.43.000 Поставка комплектной трансформаторной подстанции  в рамках инвестиционной программы </w:t>
      </w:r>
    </w:p>
    <w:p>
      <w:pPr>
        <w:pStyle w:val="Normal"/>
        <w:ind w:firstLine="708"/>
        <w:jc w:val="center"/>
        <w:rPr/>
      </w:pPr>
      <w:r>
        <w:rPr>
          <w:rFonts w:eastAsia="Calibri"/>
          <w:b/>
          <w:sz w:val="26"/>
          <w:szCs w:val="26"/>
        </w:rPr>
        <w:t>для филиала АО «ДРСК» «Электрические сети ЕАО»</w:t>
      </w:r>
    </w:p>
    <w:p>
      <w:pPr>
        <w:pStyle w:val="Normal"/>
        <w:keepNext w:val="true"/>
        <w:keepLines/>
        <w:ind w:firstLine="708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ind w:firstLine="708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b/>
          <w:bCs/>
          <w:highlight w:val="none"/>
          <w:shd w:fill="FFFFFF" w:val="clear"/>
        </w:rPr>
      </w:pPr>
      <w:r>
        <w:rPr>
          <w:b/>
          <w:bCs/>
          <w:sz w:val="26"/>
          <w:szCs w:val="26"/>
          <w:shd w:fill="FFFFFF" w:val="clear"/>
        </w:rPr>
        <w:t>Лот №4082.1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r>
        <w:rPr/>
        <w:t>Обозначения и сокращения</w:t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tbl>
      <w:tblPr>
        <w:tblW w:w="152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6"/>
        <w:gridCol w:w="13480"/>
      </w:tblGrid>
      <w:tr>
        <w:trPr>
          <w:cantSplit w:val="true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sz w:val="26"/>
                <w:szCs w:val="26"/>
                <w:lang w:eastAsia="x-non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КТПН</w:t>
            </w:r>
          </w:p>
        </w:tc>
        <w:tc>
          <w:tcPr>
            <w:tcW w:w="1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Cs/>
                <w:iCs/>
                <w:sz w:val="24"/>
                <w:szCs w:val="24"/>
              </w:rPr>
              <w:t>Комплектная трансформаторная подстанция наружной установки</w:t>
            </w:r>
          </w:p>
        </w:tc>
      </w:tr>
      <w:tr>
        <w:trPr>
          <w:cantSplit w:val="true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1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ОПН</w:t>
            </w:r>
          </w:p>
        </w:tc>
        <w:tc>
          <w:tcPr>
            <w:tcW w:w="1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Cs/>
                <w:iCs/>
                <w:sz w:val="24"/>
                <w:szCs w:val="24"/>
              </w:rPr>
              <w:t>Ограничитель перенапряжения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b/>
          <w:i/>
          <w:sz w:val="26"/>
          <w:szCs w:val="26"/>
        </w:rPr>
        <w:t>Комплектная трансформаторная подстанция для филиала АО «ДРСК» «Электрические сети ЕАО</w:t>
      </w:r>
      <w:r>
        <w:rPr>
          <w:rFonts w:eastAsia="Calibri"/>
          <w:i/>
          <w:sz w:val="24"/>
          <w:szCs w:val="24"/>
          <w:lang w:eastAsia="x-none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bookmarkStart w:id="6" w:name="_Toc50125126"/>
      <w:bookmarkStart w:id="7" w:name="_Toc46743510"/>
      <w:bookmarkEnd w:id="6"/>
      <w:bookmarkEnd w:id="7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15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7"/>
        <w:gridCol w:w="6241"/>
        <w:gridCol w:w="995"/>
        <w:gridCol w:w="707"/>
        <w:gridCol w:w="11"/>
        <w:gridCol w:w="5390"/>
        <w:gridCol w:w="995"/>
        <w:gridCol w:w="713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7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  <w:r>
              <w:rPr>
                <w:rStyle w:val="FootnoteReference"/>
                <w:sz w:val="24"/>
                <w:szCs w:val="24"/>
                <w:vertAlign w:val="superscript"/>
              </w:rPr>
              <w:footnoteReference w:id="2"/>
            </w:r>
            <w:r>
              <w:rPr>
                <w:sz w:val="24"/>
                <w:szCs w:val="24"/>
                <w:vertAlign w:val="superscript"/>
              </w:rPr>
              <w:t>**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Комплектная двухтрансформаторная подстанция 2КТПН 160/6/0,4 со встроенными трансформаторами или эквивалент*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Указать наименование продукции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1" w:name="_Toc75446578"/>
      <w:bookmarkStart w:id="12" w:name="_Toc51339696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75446579"/>
      <w:bookmarkStart w:id="14" w:name="_Toc50125127"/>
      <w:bookmarkStart w:id="15" w:name="_Toc51339697"/>
      <w:bookmarkStart w:id="16" w:name="_Toc50125126_Копия_1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7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5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8"/>
        <w:gridCol w:w="8505"/>
        <w:gridCol w:w="2268"/>
        <w:gridCol w:w="3686"/>
      </w:tblGrid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>Комплектная двухтрансформаторная подстанция 2КТПН 160/6/0,4 со встроенными трансформаторами или эквивалент*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в течение 120 (Сто двадцати) календарных дней с даты подписания договора.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8" w:name="_Toc75446581"/>
      <w:bookmarkStart w:id="19" w:name="_Toc46743511"/>
      <w:bookmarkStart w:id="20" w:name="_Toc46743510_Копия_1"/>
      <w:bookmarkEnd w:id="20"/>
      <w:r>
        <w:rPr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sz w:val="24"/>
          <w:szCs w:val="24"/>
          <w:shd w:fill="auto" w:val="clear"/>
          <w:lang w:eastAsia="x-none"/>
        </w:rPr>
      </w:r>
    </w:p>
    <w:tbl>
      <w:tblPr>
        <w:tblStyle w:val="af"/>
        <w:tblW w:w="15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4"/>
        <w:gridCol w:w="3486"/>
        <w:gridCol w:w="3968"/>
        <w:gridCol w:w="2269"/>
        <w:gridCol w:w="2694"/>
        <w:gridCol w:w="2688"/>
      </w:tblGrid>
      <w:tr>
        <w:trPr/>
        <w:tc>
          <w:tcPr>
            <w:tcW w:w="6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footnoteReference w:customMarkFollows="1" w:id="3"/>
              <w:t>**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************************************</w:t>
            </w:r>
          </w:p>
        </w:tc>
        <w:tc>
          <w:tcPr>
            <w:tcW w:w="39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Комплектная трансформаторная подстанция для филиала АО «ДРСК» «Электрические сети ЕАО»</w:t>
            </w:r>
          </w:p>
        </w:tc>
        <w:tc>
          <w:tcPr>
            <w:tcW w:w="39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приложением 1 к настоящим Техническим требованиям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trike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trike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//-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заполненные приложения</w:t>
            </w:r>
          </w:p>
        </w:tc>
        <w:tc>
          <w:tcPr>
            <w:tcW w:w="26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сроку изготовления закупаемого оборудования.</w:t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Год изготовления (выпуска) закупаемого оборудования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2025-2026 гг.</w:t>
            </w:r>
          </w:p>
        </w:tc>
        <w:tc>
          <w:tcPr>
            <w:tcW w:w="22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Указать год выпуска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Оборудование должно быть новым, серийного производства, ранее не используемым</w:t>
            </w:r>
          </w:p>
        </w:tc>
        <w:tc>
          <w:tcPr>
            <w:tcW w:w="22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от 27.12.2002 г. № 184-ФЗ «О техническом регулировании», 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- силовой трансформатор должен иметь декларацию соответствия ГОСТ Р 52719-2007, ГОСТ 12.2.007.2-75, ГОСТ 12.2.024 – 87, ГОСТ 1516.3 – 96.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 xml:space="preserve">- КТП, КМТП, СТП должны иметь декларацию соответствия ГОСТ 14695-80, ГОСТ 1516.3-96.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Предоставить регистрационные номера деклараций о соответствии или копии деклараций о соответствии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2">
              <w:r>
                <w:rPr>
                  <w:rFonts w:eastAsia="Times New Roman" w:cs="Times New Roman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https://fsa.gov.ru/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( 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требование п.6 ст.24 ФЗ-184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Представить регистрационные номера деклараций о соответствии или копии деклараций о соответствии.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 60 (шестидесяти) месяцев с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даты подписания накладной ТОРГ-12 или УПД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срок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Гарантия на защиту от коррозии, при отсутствии механических повреждений.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 10 лет с даты подписания накладной ТОРГ-12 или УПД.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срок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 продукции (для подтверждения применимости предложенной Участником продукции (в том числе эквивалентной продукции), а также ее соответствия техническим требованиям Заказчика)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Сборочные и компоновочные чертежи на оборудование с габаритными размерами.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чертежи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Техническое описание КТПН и встроенного оборудования (ячейки 6-10 кВ, панели 0,4 кВ, силовой трансформатор):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описание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Главные электрические схемы предлагаемой КТПН, подготовленные Участником или заводом-изготовителем КТПН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схемы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Опросные листы на КТПН с описанием устанавливаемого оборудования с заполненными Участниками параметрами согласно Приложению № 1 к настоящим техническим требованиям по всем позициям.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заполненные опросные листы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Требования к закупаемому оборудованию 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Нормативный срок службы предлагаемого оборудования не менее 25 лет. Согласно опросным листам.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КТПН и встроенное оборудование должно соответствовать данному техническому требованию, а также Приложению № 1.1 к настоящим техническим требованиям.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КТПН должна изготавливаться в соответствии с ГОСТ 14695-80. ПУЭ п. 4.2.20, Гост Р 51321.1-2000 п.7.1.1.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Корпус КТПН должны быть выполнены из стали толщиной не менее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мм.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ТП предусмотреть монтаж пола в РУВН и РУНН, из рифленого листового железа толщиной не менее 2 мм, для возможности нормальной эксплуатации оборудования и выполнению требований п. 5.4.4. ПТЭ. СНиП 2.03.13-88 п. 5.25, ГОСТ 8568 (Методическое указание №П4-06М-0087 п. 3.4.4.),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Все металлические детали корпуса ТП должны иметь защитное покрытие от коррозии п. 3.13.  ГОСТ 14695-80 «Подстанции трансформаторные комплектные мощностью от 25 до 2500 кВ·А на напряжение до 10 кВ».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Применить рубильники 0,4 кВ с диэлектрической рукоятью  (РС со смещенным приводом на наружную стойку панели ЩО)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Автоматические выключатели 0,4 кВ с номинальным током свыше 100 А необходимо применить с регулируемым расцепителем для защиты от тока перегрузки и тока короткого замыкания.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РУ ТП коммутационные аппараты и открытые токоведущие части по стороне 0,4 кВ должны иметь сплошное ограждение от поражения электрическим током в соответствии с ГОСТ Р 50571.3.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ТП шины ВН от проходных изоляторов до вводов трансформаторов, в НН от вводов трансформаторов до вводных коммутационных аппаратов, а так же от вводных до отходящих коммутационных аппаратов выполнит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ь (жесткими)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шинами расчетного сечения, согласно п. 4.1.2 ПУЭ (изд. 7).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КТПН типа «киоск» в РУ 6(10), РУ 0,4 кВ, между низковольтным выводом силового трансформатора и вводным аппаратом защиты и управления необходимо использовать только жесткую ошиновку (алюминиевые шины)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Тип, схемы соединения и количество силовых трансформаторов применить согласно опросным листам.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Габариты трансформаторного отсека и ошиновку выполнить с учётом возможности установки силового трансформатора следующего габарита, предусмотреть возможность замены (перемещения) трансформатора на собственных колесах, входящих в комплект. В рабочем положении трансформатор должен быть жестко закреплен.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трансформаторном отсеке, отсеке РУ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ТП предусмотреть вентиляционны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отверсти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 защищенны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от осадков.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Внутренние петли в конструкции дверей.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Для запирания дверей применить трехточечное запирающее устройство, унифицированные внутренние замки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Оснастить необходимыми блокировками, (блокирующими замками) препятствующими проникновению персонала при поданном напряжении узлы КТПН, 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en-US"/>
              </w:rPr>
              <w:t>Руководствуясь ПУЭ изд.7 п. 4.2.27., РД 34.35.512 Инструкция по эксплуатации оперативных блокировок безопасности.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РУ-ВН предусмотреть ограждение неизолированных токоведущих частей с возможностью доступа к ним, согласно п. 4.2.88 ПУЭ (изд. 7).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КТПН типа «киоск» во всех отсеках предусмотреть болты заземления, выполненные сварным соединением к раме КТПН, для заземления трансформатора и нулевой шпильки трансформатора.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Крепление внутренних перегородок выполнить на клепках или болтовых соединениях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Климатическое исполнение  ТП  УХЛ1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Климатическое исполнение трансформаторов УХЛ1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Степень защиты ТП по ГОСТ 14254-2015 IP - не ниже IP34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КТПН должны поставляться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 п. 3.16. 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 приборы, аппараты, а также ряды зажимов и соединительная проводка должны быть маркированы п. 3.28., 7.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Каждую КТПН укомплектовать документацией в соответствии с п. 4.2.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Внешние двери выполнить с уплотнителем обеспечивающим плотный контакт между дверью и корпусом.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целях повышения пожаробезопасности предусмотреть вертикальное расположение выключателей 0,4 кВ в горизонтальном ряду (рядах) с возможностью присоединения отходящих линий снизу.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учету электрической энергии: 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ind w:left="217" w:right="204" w:hanging="4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Приборы учета должны соответствовать Постановлению Правительства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РФ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19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июня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2020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г.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N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890 "О порядке предоставления доступа к минимальному набору функций интеллектуальных систем учета электрической энергии».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745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Шкаф учета электрической энергии жесткой конструкции (согласно п.1.5.29 ПУЭ) обшить теплоизоляцией пенофол В-05.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-отдельному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РАр10-3-Опс.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6.4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Дверца шкафа учета должна быть оснащена внутренними и навесным замками.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6.5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шкафу учёта предусмотреть место для установки приборов учета. Выполнить монтаж испытательных коробок (2.8.14.6 ГОСТ14693-90 и 1.5.23 ПУЭ), предназначенных для обеспечения работ с приборами учёта без разрыва токовых цепей. Схемы размещения оборудования в шкафу учета приведены в приложении 2 к опросному листу.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6.6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Трансформаторы тока 0,4 кВ типа ТШП – 0,66 устанавливаются комплектом на все 3 фазы. Номиналы трансформаторов тока применить согласно опросным листам.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6.7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Класс точности трансформаторов тока – 0,5S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6.8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Межповерочный интервал трансформаторов тока 0,4 кВ, не менее 8 лет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6.9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Обеспечить монтаж измерительных трансформаторов тока, с учётом прокладки вторичных цепей измерений непосредственно до испытательных коробок, медным кабелем длиной не более 10 м, S=&gt;2,5 мм² (согласно п.3.4.4 ПУЭ изд.6, ГОСТ 19132-86 Р, ТУ 3424-005-84331564-08). Произвести подключение трансформаторов тока к испытательным коробкам. Вторичные цепи промаркировать с двух сторон.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поставки:</w:t>
            </w:r>
          </w:p>
        </w:tc>
      </w:tr>
      <w:tr>
        <w:trPr>
          <w:trHeight w:val="827" w:hRule="atLeast"/>
        </w:trPr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Еврейская АО, г. Биробиджан, ул. Черноморская, д.6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7" w:right="0" w:hanging="0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8.</w:t>
            </w:r>
          </w:p>
        </w:tc>
        <w:tc>
          <w:tcPr>
            <w:tcW w:w="1510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b/>
                <w:sz w:val="23"/>
                <w:szCs w:val="23"/>
              </w:rPr>
              <w:t>Прочие (дополнительные) требования к продукции</w:t>
            </w:r>
          </w:p>
        </w:tc>
      </w:tr>
      <w:tr>
        <w:trPr>
          <w:trHeight w:val="827" w:hRule="atLeast"/>
        </w:trPr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-57" w:right="0" w:hanging="0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8.1</w:t>
            </w:r>
          </w:p>
        </w:tc>
        <w:tc>
          <w:tcPr>
            <w:tcW w:w="745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</w:rPr>
              <w:t>Происхождение поставляемой продукции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3"/>
                <w:szCs w:val="23"/>
              </w:rPr>
              <w:t>В составе Коммерческого предложения Поставщик указывает страну и производителя продукции.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i/>
                <w:iCs/>
                <w:color w:val="808080"/>
                <w:sz w:val="24"/>
                <w:szCs w:val="24"/>
              </w:rPr>
              <w:t>Указать страну и производителя продукции.</w:t>
            </w:r>
          </w:p>
        </w:tc>
        <w:tc>
          <w:tcPr>
            <w:tcW w:w="2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Liberation Serif" w:hAnsi="Liberation Serif" w:eastAsia="Calibri" w:cs="Liberation Serif"/>
                <w:bCs/>
                <w:i/>
                <w:i/>
                <w:kern w:val="0"/>
                <w:sz w:val="23"/>
                <w:szCs w:val="23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Cs/>
                <w:i/>
                <w:kern w:val="0"/>
                <w:sz w:val="23"/>
                <w:szCs w:val="23"/>
                <w:lang w:eastAsia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left"/>
        <w:rPr>
          <w:lang w:val="ru-RU"/>
        </w:rPr>
      </w:pPr>
      <w:r>
        <w:rPr>
          <w:lang w:val="ru-RU"/>
        </w:rPr>
        <w:t>В СОСТАВЕ ЗАЯВКИ НЕОБХОДИМО ПРЕДОСТАВИТЬ:</w:t>
      </w:r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 xml:space="preserve">3.1. 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Техническое описание КТП и встроенного оборудования (ячейки 6-10 кВ, панели 0,4 кВ, силовой трансформатор):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Габаритные и установочные чертежи, чертежи компоновки оборудования (с указанием внутренних и внешних размеров).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Технические условия (полный текст), в соответствии с которыми изготавливаются КТП; РУНН (ЩО);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Декларации о соответствии на силовой трансформатор, КТП (копии 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 или сертификаты системы качества изготовителя, выданные органом по сертификации, аккредитованным в установленном порядке, на основании которых эти декларации приняты. Декларация о соответствии, должна иметь статус действующего документа и удовлетворять требованиям ГОСТ Р 56532-2015.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Действующий Сертификат соответствия панелей ЩО требованиям Технического регламента Таможенного союза ТР ТС 004/2011 «О безопасности низковольтного оборудования» с приложением протокола испытаний, на основании которого был выдан сертификат.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Действующий Сертификат соответствия на сейсмостойкость по ГОСТ 30546.1-98;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Протоколы испытаний, проведенных в аккредитованной испытательной лаборатории, подтверждающих соответствие оборудования требованиям по сейсмостойкости по шкале MSK-64 (СП 14.13330.2014 «Свод правил строительства в сейсмических районах») на трансформаторные подстанции;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Копию Паспорта изделия;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Схема электрическая принципиальная (участник разрабатывает и предоставляет самостоятельно).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left"/>
        <w:rPr/>
      </w:pPr>
      <w:r>
        <w:rPr>
          <w:iCs/>
        </w:rPr>
        <w:t>ТРЕБОВАНИЯ К ДОКУМЕНТАЦИИ ПО ЦЕНООБРАЗОВАНИЮ НА ЭТАПЕ ЗАКУПКИ</w:t>
      </w:r>
    </w:p>
    <w:p>
      <w:pPr>
        <w:pStyle w:val="Normal"/>
        <w:ind w:left="357" w:hanging="357"/>
        <w:jc w:val="center"/>
        <w:rPr>
          <w:iCs/>
        </w:rPr>
      </w:pPr>
      <w:r>
        <w:rPr>
          <w:iCs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  <w:t>4.1. В обоснование стоимости своей заявки Участник предоставляет Коммерческое предложение по форме, приведенной в Документации о закупке.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  <w:t>4.2.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5. ПРИЛОЖЕНИЕ: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ListParagraph"/>
        <w:keepNext w:val="true"/>
        <w:keepLines/>
        <w:ind w:left="0" w:hanging="0"/>
        <w:jc w:val="both"/>
        <w:rPr>
          <w:bCs/>
          <w:i/>
          <w:i/>
          <w:iCs/>
        </w:rPr>
      </w:pPr>
      <w:r>
        <w:rPr>
          <w:bCs/>
          <w:i/>
          <w:iCs/>
        </w:rPr>
        <w:t>Приложение № 1 – Опросный лист и схема;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8"/>
          <w:b w:val="false"/>
          <w:bCs/>
          <w:i w:val="false"/>
          <w:i w:val="false"/>
          <w:iCs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fixed"/>
  </w:font>
  <w:font w:name="Symbol">
    <w:charset w:val="02"/>
    <w:family w:val="auto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rStyle w:val="Style"/>
        </w:rPr>
        <w:footnoteRef/>
      </w:r>
      <w:r>
        <w:rPr>
          <w:rStyle w:val="Style"/>
          <w:color w:val="FF0000"/>
        </w:rPr>
        <w:t>*</w:t>
      </w:r>
      <w:r>
        <w:rPr>
          <w:color w:val="FF0000"/>
        </w:rPr>
        <w:t xml:space="preserve"> </w:t>
      </w:r>
      <w:bookmarkStart w:id="22" w:name="_Hlk68806928"/>
      <w:r>
        <w:rPr>
          <w:iCs/>
          <w:color w:val="FF0000"/>
        </w:rPr>
        <w:t>Указанные в настоящем ТТ ссылки на ТУ, марку продукции носят описательный, а не обязательный характер (</w:t>
      </w:r>
      <w:r>
        <w:rPr>
          <w:iCs/>
          <w:color w:val="FF0000"/>
          <w:highlight w:val="yellow"/>
        </w:rPr>
        <w:t>за исключением позиций, указанных под * в ОЛ</w:t>
      </w:r>
      <w:bookmarkStart w:id="23" w:name="_GoBack"/>
      <w:bookmarkEnd w:id="23"/>
      <w:r>
        <w:rPr>
          <w:iCs/>
          <w:color w:val="FF0000"/>
        </w:rPr>
        <w:t xml:space="preserve">). </w:t>
      </w:r>
      <w:bookmarkEnd w:id="22"/>
      <w:r>
        <w:rPr>
          <w:iCs/>
          <w:color w:val="FF0000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bCs/>
          <w:iCs/>
          <w:color w:val="FF0000"/>
        </w:rPr>
        <w:t>Параметрами эквивалентности являются технические характеристики продукции, указанные в приложениях к настоящим техническим требованиям.</w:t>
      </w:r>
    </w:p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iCs/>
          <w:color w:val="FF000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rStyle w:val="Style"/>
          <w:color w:val="FF0000"/>
        </w:rPr>
        <w:t>**</w:t>
      </w:r>
      <w:r>
        <w:rPr>
          <w:color w:val="FF0000"/>
        </w:rPr>
        <w:t xml:space="preserve"> </w:t>
      </w:r>
      <w:r>
        <w:rPr>
          <w:iCs/>
          <w:color w:val="FF0000"/>
        </w:rPr>
        <w:t>Способ подтверждения участником соответствия требованиям указан в таблице в отношении каждой позиции закупаемой продукции.</w:t>
      </w:r>
    </w:p>
    <w:p>
      <w:pPr>
        <w:pStyle w:val="FootnoteText"/>
        <w:widowControl w:val="false"/>
        <w:jc w:val="both"/>
        <w:rPr/>
      </w:pPr>
      <w:r>
        <w:rPr/>
      </w:r>
    </w:p>
  </w:footnote>
  <w:footnote w:id="3">
    <w:p>
      <w:pPr>
        <w:pStyle w:val="FootnoteText"/>
        <w:widowControl w:val="false"/>
        <w:jc w:val="both"/>
        <w:rPr>
          <w:color w:val="FF0000"/>
        </w:rPr>
      </w:pPr>
      <w:r>
        <w:rPr>
          <w:rStyle w:val="Style"/>
        </w:rPr>
        <w:t>**</w:t>
      </w:r>
      <w:r>
        <w:rPr>
          <w:rStyle w:val="Style"/>
        </w:rPr>
        <w:t>**********************************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4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Пункт б/н"/>
    <w:basedOn w:val="Normal"/>
    <w:qFormat/>
    <w:rsid w:val="00ed28f1"/>
    <w:pPr>
      <w:tabs>
        <w:tab w:val="clear" w:pos="708"/>
        <w:tab w:val="left" w:pos="1134" w:leader="none"/>
      </w:tabs>
      <w:spacing w:lineRule="auto" w:line="360"/>
      <w:ind w:firstLine="567"/>
      <w:jc w:val="both"/>
    </w:pPr>
    <w:rPr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sa.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CF71-5215-4D4A-A51C-4753D153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AlterOffice/3.3.1.3$Linux_X86_64 LibreOffice_project/90d829a0d92d6015ad4fa014ce4f460a7fe6c0ba</Application>
  <AppVersion>15.0000</AppVersion>
  <Pages>10</Pages>
  <Words>2070</Words>
  <Characters>14223</Characters>
  <CharactersWithSpaces>16000</CharactersWithSpaces>
  <Paragraphs>314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2023-10-17T07:55:00Z</dcterms:created>
  <dc:creator>Быстров Олег Геннадьевич</dc:creator>
  <dc:description/>
  <dc:language>ru-RU</dc:language>
  <cp:lastModifiedBy>balabanova_eb</cp:lastModifiedBy>
  <cp:lastPrinted>2006-07-26T14:04:00Z</cp:lastPrinted>
  <dcterms:modified xsi:type="dcterms:W3CDTF">2026-06-17T10:49:15Z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1134298184</vt:i4>
  </property>
  <property fmtid="{D5CDD505-2E9C-101B-9397-08002B2CF9AE}" pid="3" name="_AuthorEmail">
    <vt:lpwstr>Sokolov-VV@amur.drsk.ru</vt:lpwstr>
  </property>
  <property fmtid="{D5CDD505-2E9C-101B-9397-08002B2CF9AE}" pid="4" name="_AuthorEmailDisplayName">
    <vt:lpwstr>Соколов В.В.</vt:lpwstr>
  </property>
  <property fmtid="{D5CDD505-2E9C-101B-9397-08002B2CF9AE}" pid="5" name="_EmailSubject">
    <vt:lpwstr>Отправка: 2023.09.20 ТТ и ОЛ на закупку 2КТПН 1600 и 1250 для Свободного (1), ТП 2х1250 2_13.2 Свободный (1), ТП 2х1600 2_14 Свободный (1)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