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ТЕХНИЧЕСКИЕ ТРЕБОВАНИЯ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rFonts w:eastAsia="Calibri"/>
          <w:sz w:val="26"/>
          <w:szCs w:val="26"/>
          <w:shd w:fill="auto" w:val="clear"/>
        </w:rPr>
      </w:pPr>
      <w:r>
        <w:rPr>
          <w:rFonts w:eastAsia="Calibri"/>
          <w:sz w:val="26"/>
          <w:szCs w:val="26"/>
        </w:rPr>
        <w:t xml:space="preserve">ОКПД 2 </w:t>
      </w:r>
      <w:r>
        <w:rPr>
          <w:rFonts w:eastAsia="Calibri"/>
          <w:color w:val="000000"/>
          <w:sz w:val="26"/>
          <w:szCs w:val="26"/>
        </w:rPr>
        <w:t>27.12.10.130 П</w:t>
      </w:r>
      <w:r>
        <w:rPr>
          <w:color w:val="000000"/>
          <w:sz w:val="26"/>
          <w:szCs w:val="26"/>
        </w:rPr>
        <w:t xml:space="preserve">оставка </w:t>
      </w:r>
      <w:r>
        <w:rPr>
          <w:rFonts w:eastAsia="Calibri"/>
          <w:color w:val="000000"/>
          <w:sz w:val="26"/>
          <w:szCs w:val="26"/>
        </w:rPr>
        <w:t xml:space="preserve">ограничителя перенапряжения нелинейного (ОПН) </w:t>
      </w:r>
      <w:r>
        <w:rPr>
          <w:rFonts w:eastAsia="Calibri"/>
          <w:sz w:val="26"/>
          <w:szCs w:val="26"/>
        </w:rPr>
        <w:t>110 кВ для нужд Дагестанского филиала АО “Гидроремонт-ВКК” в г.Махачкала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rFonts w:eastAsia="Calibri"/>
            </w:rPr>
            <w:fldChar w:fldCharType="separate"/>
          </w:r>
          <w:hyperlink w:anchor="_Toc232082951">
            <w:r>
              <w:rPr>
                <w:webHidden/>
                <w:rStyle w:val="Style14"/>
                <w:rFonts w:eastAsia="Calibri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82952">
            <w:r>
              <w:rPr>
                <w:webHidden/>
                <w:rStyle w:val="Style14"/>
                <w:rFonts w:eastAsia="Calibri"/>
                <w:iCs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82953">
            <w:r>
              <w:rPr>
                <w:webHidden/>
                <w:rStyle w:val="Style14"/>
                <w:rFonts w:eastAsia="Calibri"/>
                <w:iCs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82954">
            <w:r>
              <w:rPr>
                <w:webHidden/>
                <w:rStyle w:val="Style14"/>
                <w:rFonts w:eastAsia="Calibri"/>
                <w:iCs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55">
            <w:r>
              <w:rPr>
                <w:webHidden/>
                <w:rStyle w:val="Style14"/>
                <w:rFonts w:eastAsia="Calibri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2082956">
            <w:r>
              <w:rPr>
                <w:webHidden/>
                <w:rStyle w:val="Style14"/>
                <w:rFonts w:eastAsia="Calibri"/>
                <w:iCs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left" w:pos="84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57">
            <w:r>
              <w:rPr>
                <w:webHidden/>
                <w:rStyle w:val="Style14"/>
                <w:rFonts w:eastAsia="Calibri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 xml:space="preserve"> Перечень и объем закупаемой продукции и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58">
            <w:r>
              <w:rPr>
                <w:webHidden/>
                <w:rStyle w:val="Style14"/>
                <w:rFonts w:eastAsia="Calibri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59">
            <w:r>
              <w:rPr>
                <w:webHidden/>
                <w:rStyle w:val="Style14"/>
                <w:rFonts w:eastAsia="Calibri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60">
            <w:r>
              <w:rPr>
                <w:webHidden/>
                <w:rStyle w:val="Style14"/>
                <w:rFonts w:eastAsia="Calibri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61">
            <w:r>
              <w:rPr>
                <w:webHidden/>
                <w:rStyle w:val="Style14"/>
                <w:rFonts w:eastAsia="Calibri"/>
              </w:rPr>
              <w:t>Таблица 2.2 Требования по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62">
            <w:r>
              <w:rPr>
                <w:webHidden/>
                <w:rStyle w:val="Style14"/>
                <w:rFonts w:eastAsia="Calibri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63">
            <w:r>
              <w:rPr>
                <w:webHidden/>
                <w:rStyle w:val="Style14"/>
                <w:rFonts w:eastAsia="Calibri"/>
              </w:rPr>
              <w:t>Таблица 3.1 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2"/>
            <w:tabs>
              <w:tab w:val="clear" w:pos="708"/>
              <w:tab w:val="right" w:pos="9770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32082964">
            <w:r>
              <w:rPr>
                <w:webHidden/>
                <w:rStyle w:val="Style14"/>
                <w:rFonts w:eastAsia="Calibri"/>
              </w:rPr>
              <w:t>Таблица 3.2 Требования к шинной опоре 110 кВ.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_Toc232082964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  <w:pStyle w:val="TOC1"/>
        <w:tabs>
          <w:tab w:val="clear" w:pos="708"/>
          <w:tab w:val="right" w:pos="9780" w:leader="dot"/>
        </w:tabs>
        <w:rPr/>
      </w:pPr>
      <w:r>
        <w:rPr/>
      </w:r>
    </w:p>
    <w:p>
      <w:pPr>
        <w:pStyle w:val="Normal"/>
        <w:keepNext w:val="true"/>
        <w:keepLines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32082951"/>
      <w:bookmarkStart w:id="1" w:name="_Toc51339692"/>
      <w:bookmarkStart w:id="2" w:name="_Toc231393045"/>
      <w:r>
        <w:rPr>
          <w:lang w:val="ru-RU"/>
        </w:rPr>
        <w:t>Общие сведения</w:t>
      </w:r>
      <w:bookmarkEnd w:id="0"/>
      <w:bookmarkEnd w:id="1"/>
      <w:bookmarkEnd w:id="2"/>
    </w:p>
    <w:p>
      <w:pPr>
        <w:pStyle w:val="Heading4"/>
        <w:numPr>
          <w:ilvl w:val="1"/>
          <w:numId w:val="3"/>
        </w:numPr>
        <w:rPr>
          <w:rStyle w:val="Style8"/>
          <w:b/>
          <w:i w:val="false"/>
          <w:i w:val="false"/>
          <w:shd w:fill="auto" w:val="clear"/>
        </w:rPr>
      </w:pPr>
      <w:bookmarkStart w:id="3" w:name="_Toc232082952"/>
      <w:bookmarkStart w:id="4" w:name="_Toc46743505"/>
      <w:bookmarkStart w:id="5" w:name="_Toc231393046"/>
      <w:r>
        <w:rPr/>
        <w:t>Обозначения и сокращения</w:t>
      </w:r>
      <w:bookmarkEnd w:id="3"/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/>
                <w:sz w:val="24"/>
                <w:szCs w:val="24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b w:val="false"/>
                <w:bCs/>
                <w:i w:val="false"/>
                <w:iCs/>
                <w:sz w:val="24"/>
                <w:szCs w:val="24"/>
              </w:rPr>
              <w:t>Ограничитель перенапряжения нелинейный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6" w:name="_Toc232082953"/>
      <w:bookmarkStart w:id="7" w:name="_Toc46743506"/>
      <w:bookmarkStart w:id="8" w:name="_Toc231393047"/>
      <w:r>
        <w:rPr/>
        <w:t>Наименование закупаемой продукции</w:t>
      </w:r>
      <w:bookmarkEnd w:id="6"/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 xml:space="preserve">ОКПД 2 </w:t>
      </w:r>
      <w:r>
        <w:rPr>
          <w:rFonts w:eastAsia="Calibri"/>
          <w:color w:val="000000"/>
          <w:sz w:val="26"/>
          <w:szCs w:val="26"/>
          <w:lang w:eastAsia="x-none"/>
        </w:rPr>
        <w:t xml:space="preserve">27.12.10.130 Поставка </w:t>
      </w:r>
      <w:r>
        <w:rPr>
          <w:rFonts w:eastAsia="Calibri"/>
          <w:color w:val="000000"/>
          <w:sz w:val="26"/>
          <w:szCs w:val="26"/>
        </w:rPr>
        <w:t xml:space="preserve">ограничителя перенапряжения нелинейного (ОПН) </w:t>
      </w:r>
      <w:bookmarkStart w:id="9" w:name="_GoBack"/>
      <w:bookmarkEnd w:id="9"/>
      <w:r>
        <w:rPr>
          <w:rFonts w:eastAsia="Calibri"/>
          <w:sz w:val="26"/>
          <w:szCs w:val="26"/>
          <w:lang w:eastAsia="x-none"/>
        </w:rPr>
        <w:t>110 кВ для нужд Дагестанского филиала АО “Гидроремонт-ВКК” в г. Махачкала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10" w:name="_Toc232082954"/>
      <w:bookmarkStart w:id="11" w:name="_Toc231393048"/>
      <w:bookmarkStart w:id="12" w:name="_Toc46743507"/>
      <w:r>
        <w:rPr/>
        <w:t xml:space="preserve">Цель </w:t>
      </w:r>
      <w:bookmarkEnd w:id="12"/>
      <w:r>
        <w:rPr>
          <w:lang w:val="ru-RU"/>
        </w:rPr>
        <w:t>использования закупаемой продукции</w:t>
      </w:r>
      <w:bookmarkEnd w:id="10"/>
      <w:bookmarkEnd w:id="11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rFonts w:eastAsia="Calibri"/>
          <w:b w:val="false"/>
          <w:sz w:val="24"/>
          <w:szCs w:val="24"/>
          <w:shd w:fill="auto" w:val="clear"/>
          <w:lang w:eastAsia="x-none"/>
        </w:rPr>
      </w:pPr>
      <w:r>
        <w:rPr>
          <w:rFonts w:eastAsia="Calibri"/>
          <w:sz w:val="24"/>
          <w:szCs w:val="24"/>
          <w:lang w:eastAsia="x-none"/>
        </w:rPr>
        <w:t>Исполнение договора №2/2026 от 14.04.2026г. "Выполнение монтажных и пусконаладочных работ электротехнического оборудования, системы отопления, кондиционирования и вентиляции воздуха, системы пожаротушения и сигнализации»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3" w:name="_Toc232082955"/>
      <w:bookmarkStart w:id="14" w:name="_Toc51339693"/>
      <w:bookmarkStart w:id="15" w:name="_Toc231392590"/>
      <w:bookmarkStart w:id="16" w:name="_Toc231393049"/>
      <w:bookmarkStart w:id="17" w:name="_Toc50125126"/>
      <w:bookmarkEnd w:id="17"/>
      <w:r>
        <w:rPr>
          <w:iCs/>
        </w:rPr>
        <w:t>Требования к продукции</w:t>
      </w:r>
      <w:bookmarkEnd w:id="13"/>
      <w:bookmarkEnd w:id="14"/>
      <w:bookmarkEnd w:id="15"/>
      <w:bookmarkEnd w:id="16"/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18" w:name="_Toc232082956"/>
      <w:bookmarkStart w:id="19" w:name="_Toc231392591"/>
      <w:bookmarkStart w:id="20" w:name="_Toc231393050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8"/>
      <w:bookmarkEnd w:id="19"/>
      <w:bookmarkEnd w:id="20"/>
    </w:p>
    <w:p>
      <w:pPr>
        <w:pStyle w:val="Heading2"/>
        <w:numPr>
          <w:ilvl w:val="0"/>
        </w:numPr>
        <w:spacing w:before="120" w:after="0"/>
        <w:ind w:left="432" w:hanging="432"/>
        <w:jc w:val="center"/>
        <w:rPr/>
      </w:pPr>
      <w:bookmarkStart w:id="21" w:name="_Toc232082957"/>
      <w:r>
        <w:rPr/>
        <w:t>2.1.1.</w:t>
        <w:tab/>
        <w:t xml:space="preserve"> Перечень и объем закупаемой продукции и услуг</w:t>
      </w:r>
      <w:bookmarkEnd w:id="21"/>
    </w:p>
    <w:p>
      <w:pPr>
        <w:pStyle w:val="Heading2"/>
        <w:numPr>
          <w:ilvl w:val="0"/>
        </w:numPr>
        <w:ind w:left="432" w:hanging="432"/>
        <w:rPr>
          <w:lang w:val="ru-RU"/>
        </w:rPr>
      </w:pPr>
      <w:bookmarkStart w:id="22" w:name="_Toc232082958"/>
      <w:bookmarkStart w:id="23" w:name="_Toc231392525"/>
      <w:bookmarkStart w:id="24" w:name="_Toc231392593"/>
      <w:bookmarkStart w:id="25" w:name="_Toc231393052"/>
      <w:bookmarkStart w:id="26" w:name="_Toc51339695"/>
      <w:r>
        <w:rPr/>
        <w:t xml:space="preserve">Таблица </w:t>
      </w:r>
      <w:r>
        <w:rPr>
          <w:lang w:val="ru-RU"/>
        </w:rPr>
        <w:t>1.1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26"/>
      <w:r>
        <w:rPr>
          <w:lang w:val="ru-RU"/>
        </w:rPr>
        <w:t>и объем закупаемой продукции</w:t>
      </w:r>
      <w:bookmarkEnd w:id="22"/>
      <w:bookmarkEnd w:id="23"/>
      <w:bookmarkEnd w:id="24"/>
      <w:bookmarkEnd w:id="25"/>
    </w:p>
    <w:tbl>
      <w:tblPr>
        <w:tblStyle w:val="affffc"/>
        <w:tblW w:w="992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91"/>
        <w:gridCol w:w="6383"/>
        <w:gridCol w:w="1428"/>
        <w:gridCol w:w="1517"/>
      </w:tblGrid>
      <w:tr>
        <w:trPr/>
        <w:tc>
          <w:tcPr>
            <w:tcW w:w="5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38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Ограничитель перенапряжения нелинейный (ОПН) 110 кВ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en-US" w:eastAsia="ru-RU" w:bidi="ar-SA"/>
              </w:rPr>
              <w:t>компл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val="en-US" w:eastAsia="ru-RU" w:bidi="ar-SA"/>
              </w:rPr>
              <w:t>Конструкторская документация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шт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6</w:t>
            </w:r>
          </w:p>
        </w:tc>
      </w:tr>
      <w:tr>
        <w:trPr/>
        <w:tc>
          <w:tcPr>
            <w:tcW w:w="59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3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highlight w:val="green"/>
                <w:lang w:val="en-US" w:eastAsia="ru-RU" w:bidi="ar-SA"/>
              </w:rPr>
              <w:t>Шинная опора 110 кВ</w:t>
            </w:r>
          </w:p>
        </w:tc>
        <w:tc>
          <w:tcPr>
            <w:tcW w:w="1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шт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  <w:highlight w:val="green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highlight w:val="green"/>
                <w:lang w:val="en-US" w:eastAsia="ru-RU" w:bidi="ar-SA"/>
              </w:rPr>
              <w:t>3</w:t>
            </w:r>
          </w:p>
        </w:tc>
      </w:tr>
    </w:tbl>
    <w:p>
      <w:pPr>
        <w:pStyle w:val="Heading2"/>
        <w:numPr>
          <w:ilvl w:val="0"/>
        </w:numPr>
        <w:ind w:left="432" w:hanging="432"/>
        <w:rPr>
          <w:lang w:val="ru-RU"/>
        </w:rPr>
      </w:pPr>
      <w:bookmarkStart w:id="27" w:name="_Toc232082959"/>
      <w:bookmarkStart w:id="28" w:name="_Toc231830836"/>
      <w:r>
        <w:rPr>
          <w:lang w:val="ru-RU"/>
        </w:rPr>
        <w:t>Таблица 1.2 Перечень и объем закупаемых сопутствующих услуг</w:t>
      </w:r>
      <w:bookmarkEnd w:id="27"/>
      <w:bookmarkEnd w:id="28"/>
    </w:p>
    <w:tbl>
      <w:tblPr>
        <w:tblStyle w:val="affffc"/>
        <w:tblW w:w="99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9"/>
        <w:gridCol w:w="6125"/>
        <w:gridCol w:w="1428"/>
        <w:gridCol w:w="1517"/>
      </w:tblGrid>
      <w:tr>
        <w:trPr/>
        <w:tc>
          <w:tcPr>
            <w:tcW w:w="84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61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продукции</w:t>
            </w:r>
          </w:p>
        </w:tc>
        <w:tc>
          <w:tcPr>
            <w:tcW w:w="14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Единица измерения</w:t>
            </w:r>
          </w:p>
        </w:tc>
        <w:tc>
          <w:tcPr>
            <w:tcW w:w="151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right w:val="single" w:sz="8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left w:val="nil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Шефмонтаж ограничителя перенапряжения нелинейного (ОПН) 110 кВ</w:t>
            </w:r>
          </w:p>
        </w:tc>
        <w:tc>
          <w:tcPr>
            <w:tcW w:w="142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en-US" w:eastAsia="ru-RU" w:bidi="ar-SA"/>
              </w:rPr>
              <w:t>Условная единица</w:t>
            </w:r>
          </w:p>
        </w:tc>
        <w:tc>
          <w:tcPr>
            <w:tcW w:w="15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9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jc w:val="center"/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kern w:val="0"/>
                <w:lang w:val="ru-RU" w:eastAsia="ru-RU" w:bidi="ar-SA"/>
              </w:rPr>
            </w:r>
          </w:p>
        </w:tc>
        <w:tc>
          <w:tcPr>
            <w:tcW w:w="6125" w:type="dxa"/>
            <w:tcBorders>
              <w:left w:val="nil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Шефналадка ограничителя перенапряжения нелинейного (ОПН) 110 кВ</w:t>
            </w:r>
          </w:p>
        </w:tc>
        <w:tc>
          <w:tcPr>
            <w:tcW w:w="1428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en-US" w:eastAsia="ru-RU" w:bidi="ar-SA"/>
              </w:rPr>
              <w:t>Условная единица</w:t>
            </w:r>
          </w:p>
        </w:tc>
        <w:tc>
          <w:tcPr>
            <w:tcW w:w="1517" w:type="dxa"/>
            <w:tcBorders/>
            <w:shd w:color="000000"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color w:val="2C2D2E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2"/>
        <w:numPr>
          <w:ilvl w:val="0"/>
        </w:numPr>
        <w:ind w:left="432" w:hanging="432"/>
        <w:rPr/>
      </w:pPr>
      <w:bookmarkStart w:id="29" w:name="__RefHeading___Toc773828_1425808007"/>
      <w:bookmarkStart w:id="30" w:name="_Toc232082960"/>
      <w:bookmarkStart w:id="31" w:name="_Toc231830838"/>
      <w:bookmarkStart w:id="32" w:name="_Toc231392527"/>
      <w:bookmarkStart w:id="33" w:name="_Toc231392595"/>
      <w:bookmarkStart w:id="34" w:name="_Toc231393054"/>
      <w:bookmarkStart w:id="35" w:name="_Toc51339697"/>
      <w:bookmarkStart w:id="36" w:name="_Toc50125127"/>
      <w:bookmarkStart w:id="37" w:name="_Toc50125126_Копия_1"/>
      <w:bookmarkEnd w:id="29"/>
      <w:bookmarkEnd w:id="37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1</w:t>
      </w:r>
      <w:r>
        <w:rPr/>
        <w:t xml:space="preserve"> </w:t>
      </w:r>
      <w:bookmarkStart w:id="38" w:name="_Hlk50465284"/>
      <w:r>
        <w:rPr/>
        <w:t xml:space="preserve">Требования по срокам </w:t>
      </w:r>
      <w:bookmarkEnd w:id="35"/>
      <w:bookmarkEnd w:id="36"/>
      <w:bookmarkEnd w:id="38"/>
      <w:r>
        <w:rPr>
          <w:lang w:val="ru-RU"/>
        </w:rPr>
        <w:t>поставки продукции</w:t>
      </w:r>
      <w:bookmarkEnd w:id="30"/>
      <w:bookmarkEnd w:id="31"/>
      <w:bookmarkEnd w:id="32"/>
      <w:bookmarkEnd w:id="33"/>
      <w:bookmarkEnd w:id="34"/>
      <w:r>
        <w:rPr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3"/>
        <w:gridCol w:w="2557"/>
        <w:gridCol w:w="2977"/>
        <w:gridCol w:w="3260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продукции согласно п.п. 1; 3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150 календарных дней с даты подписания договора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highlight w:val="green"/>
              </w:rPr>
            </w:pPr>
            <w:r>
              <w:rPr>
                <w:highlight w:val="green"/>
              </w:rPr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Перечень продукции согласно п.п. 2 Таблицы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  <w:lang w:val="en-US"/>
              </w:rPr>
            </w:pPr>
            <w:r>
              <w:rPr>
                <w:sz w:val="24"/>
                <w:szCs w:val="24"/>
                <w:highlight w:val="green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  <w:highlight w:val="green"/>
              </w:rPr>
              <w:t>По истечении 4 мес. с даты заключения</w:t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2"/>
        <w:numPr>
          <w:ilvl w:val="0"/>
        </w:numPr>
        <w:ind w:left="432" w:hanging="432"/>
        <w:rPr/>
      </w:pPr>
      <w:bookmarkStart w:id="39" w:name="__RefHeading___Toc773832_1425808007"/>
      <w:bookmarkStart w:id="40" w:name="_Toc232082961"/>
      <w:bookmarkStart w:id="41" w:name="_Toc231830839"/>
      <w:bookmarkEnd w:id="39"/>
      <w:r>
        <w:rPr/>
        <w:t xml:space="preserve">Таблица </w:t>
      </w:r>
      <w:r>
        <w:rPr>
          <w:lang w:val="ru-RU"/>
        </w:rPr>
        <w:t>2</w:t>
      </w:r>
      <w:r>
        <w:rPr/>
        <w:t>.</w:t>
      </w:r>
      <w:r>
        <w:rPr>
          <w:lang w:val="ru-RU"/>
        </w:rPr>
        <w:t>2</w:t>
      </w:r>
      <w:r>
        <w:rPr/>
        <w:t xml:space="preserve"> Требования по срокам </w:t>
      </w:r>
      <w:bookmarkEnd w:id="41"/>
      <w:r>
        <w:rPr/>
        <w:t>оказания услуг</w:t>
      </w:r>
      <w:bookmarkEnd w:id="40"/>
      <w:r>
        <w:rPr>
          <w:lang w:val="ru-RU"/>
        </w:rPr>
        <w:t xml:space="preserve"> 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3"/>
        <w:gridCol w:w="2557"/>
        <w:gridCol w:w="2977"/>
        <w:gridCol w:w="3260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2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Перечень услуг согласно п.п 1.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С даты отгрузки первой партии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  <w:lang w:val="en-US"/>
              </w:rPr>
              <w:t>До завершения монтажных работ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Перечень услуг согласно п.п 2. Таблицы 1.2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</w:rPr>
              <w:t>С момента готовности оборудования к пусконаладочным работам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  <w:highlight w:val="green"/>
                <w:lang w:val="en-US"/>
              </w:rPr>
              <w:t>До завершения пусконаладочных работ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992" w:gutter="0" w:header="680" w:top="851" w:footer="0" w:bottom="1134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numPr>
          <w:ilvl w:val="0"/>
          <w:numId w:val="9"/>
        </w:numPr>
        <w:outlineLvl w:val="0"/>
        <w:rPr>
          <w:b/>
        </w:rPr>
      </w:pPr>
      <w:bookmarkStart w:id="42" w:name="_Toc232082962"/>
      <w:r>
        <w:rPr>
          <w:b/>
        </w:rPr>
        <w:t>Требования к качеству продукции</w:t>
      </w:r>
      <w:bookmarkEnd w:id="42"/>
    </w:p>
    <w:p>
      <w:pPr>
        <w:pStyle w:val="Normal"/>
        <w:rPr>
          <w:b/>
        </w:rPr>
      </w:pPr>
      <w:r>
        <w:rPr>
          <w:b/>
        </w:rPr>
      </w:r>
    </w:p>
    <w:p>
      <w:pPr>
        <w:pStyle w:val="Heading2"/>
        <w:numPr>
          <w:ilvl w:val="0"/>
        </w:numPr>
        <w:ind w:left="432" w:hanging="432"/>
        <w:rPr>
          <w:b w:val="false"/>
        </w:rPr>
      </w:pPr>
      <w:bookmarkStart w:id="43" w:name="_Toc232082963"/>
      <w:r>
        <w:rPr/>
        <w:t>Таблица 3.</w:t>
      </w:r>
      <w:r>
        <w:rPr>
          <w:lang w:val="ru-RU"/>
        </w:rPr>
        <w:t>1</w:t>
      </w:r>
      <w:r>
        <w:rPr/>
        <w:t xml:space="preserve"> Требования к качеству продукции</w:t>
      </w:r>
      <w:bookmarkEnd w:id="43"/>
      <w:r>
        <w:rPr/>
        <w:t xml:space="preserve">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eastAsia="Calibri"/>
          <w:b/>
          <w:i/>
          <w:i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 xml:space="preserve">Наименование продукции (Перечень продукции согласно Таблице 1.1): </w:t>
      </w:r>
      <w:r>
        <w:rPr>
          <w:rFonts w:eastAsia="Calibri"/>
          <w:b/>
          <w:color w:val="000000"/>
          <w:sz w:val="24"/>
          <w:szCs w:val="24"/>
          <w:lang w:eastAsia="x-none"/>
        </w:rPr>
        <w:t xml:space="preserve">ОКПД2 27.12.10.130 Поставка Ограничителя перенапряжения нелинейного (ОПН) </w:t>
      </w:r>
      <w:r>
        <w:rPr>
          <w:rFonts w:eastAsia="Calibri"/>
          <w:b/>
          <w:sz w:val="24"/>
          <w:szCs w:val="24"/>
          <w:lang w:eastAsia="x-none"/>
        </w:rPr>
        <w:t>110 кВ для нужд Дагестанского филиала АО “Гидроремонт-ВКК” в г. Махачкала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tbl>
      <w:tblPr>
        <w:tblStyle w:val="affffc"/>
        <w:tblW w:w="15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6"/>
        <w:gridCol w:w="4405"/>
        <w:gridCol w:w="2669"/>
        <w:gridCol w:w="2591"/>
        <w:gridCol w:w="2474"/>
        <w:gridCol w:w="2084"/>
      </w:tblGrid>
      <w:tr>
        <w:trPr>
          <w:tblHeader w:val="true"/>
        </w:trPr>
        <w:tc>
          <w:tcPr>
            <w:tcW w:w="84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п/п</w:t>
            </w:r>
          </w:p>
        </w:tc>
        <w:tc>
          <w:tcPr>
            <w:tcW w:w="4405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66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Требование заказчика</w:t>
            </w:r>
          </w:p>
        </w:tc>
        <w:tc>
          <w:tcPr>
            <w:tcW w:w="5065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84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84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66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59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7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084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846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1</w:t>
            </w:r>
          </w:p>
        </w:tc>
        <w:tc>
          <w:tcPr>
            <w:tcW w:w="4405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2</w:t>
            </w:r>
          </w:p>
        </w:tc>
        <w:tc>
          <w:tcPr>
            <w:tcW w:w="2669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3</w:t>
            </w:r>
          </w:p>
        </w:tc>
        <w:tc>
          <w:tcPr>
            <w:tcW w:w="259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4</w:t>
            </w:r>
          </w:p>
        </w:tc>
        <w:tc>
          <w:tcPr>
            <w:tcW w:w="2474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5</w:t>
            </w:r>
          </w:p>
        </w:tc>
        <w:tc>
          <w:tcPr>
            <w:tcW w:w="2084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Страна производитель оборудования в соответствии п. 3 постановления N1875 Правительства РФ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от 23.12.2024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Российская Федерация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происхождения товара по форме СТ-1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Указать/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Российская Федерация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характерестик/Согласие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6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Страна происхождения Оборудования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 код по ОКСМ/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 краткое наименование страны мира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Тип конструкции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 xml:space="preserve"> (опорный/подвесной)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опорный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Количество поставляемого оборудования, шт (фаз).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6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Соответствие поставляемого оборудования НТД (ГОСТ Р 52725-2021, ГОСТ 12.2.007.0-75 (пп. 3.3.1, 3.3.3), ГОСТ 12.2.007.3-75) Да/Нет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Сертификат соответствия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Протокол испытаний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Условия эксплуатации</w:t>
            </w:r>
          </w:p>
        </w:tc>
        <w:tc>
          <w:tcPr>
            <w:tcW w:w="2669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Класс напряжения сети, кВ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3"/>
                <w:szCs w:val="23"/>
                <w:lang w:val="ru-RU" w:eastAsia="ru-RU" w:bidi="ar-SA"/>
              </w:rPr>
              <w:t>110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Наибольшее рабочее напряжение сети, кВ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3"/>
                <w:szCs w:val="23"/>
                <w:lang w:val="ru-RU" w:eastAsia="ru-RU" w:bidi="ar-SA"/>
              </w:rPr>
              <w:t>126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Способ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заземления</w:t>
            </w:r>
            <w:r>
              <w:rPr>
                <w:rFonts w:eastAsia="Times New Roman" w:cs="Times New Roman"/>
                <w:spacing w:val="-3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нейтрали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Эффективно</w:t>
            </w:r>
            <w:r>
              <w:rPr>
                <w:rFonts w:eastAsia="Times New Roman" w:cs="Times New Roman"/>
                <w:spacing w:val="29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заземленная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Номинальная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частота,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Гц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50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Климатическое исполнение ГОСТ 15150-69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Категория размещения по ГОСТ 15150-69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плюс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минус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45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Степень загрязнения изоляции оборудования по ГОСТ 9920–89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(I – легкая/II – средняя/III – сильная/IV - очень сильная), не менее: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II - средняя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Оборудование должно нормально работать при следующих условиях: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false"/>
              <w:spacing w:before="0" w:after="0"/>
              <w:ind w:left="323" w:hanging="283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толщина стенки гололёда, мм, не менее: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false"/>
              <w:spacing w:before="0" w:after="0"/>
              <w:ind w:left="323" w:hanging="283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допустимая скорость ветра при наличии/ отсутствии гололёда, м/с, не менее: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15/ 40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Допустимая высота установки над уровнем моря, м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до 1000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Механическая нагрузка от вибрации по группе условий эксплуатации (ГОСТ Р 52725 (п. 6.4.8, п. 9.11), ГОСТ 17516.1)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М1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9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Протокол/ Акт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Номинальные</w:t>
            </w:r>
            <w:r>
              <w:rPr>
                <w:rFonts w:eastAsia="Times New Roman" w:cs="Times New Roman"/>
                <w:b/>
                <w:bCs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параметры</w:t>
            </w:r>
            <w:r>
              <w:rPr>
                <w:rFonts w:eastAsia="Times New Roman" w:cs="Times New Roman"/>
                <w:b/>
                <w:bCs/>
                <w:spacing w:val="-3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 xml:space="preserve">и </w:t>
            </w:r>
            <w:r>
              <w:rPr>
                <w:rFonts w:eastAsia="Times New Roman" w:cs="Times New Roman"/>
                <w:b/>
                <w:bCs/>
                <w:spacing w:val="-1"/>
                <w:kern w:val="0"/>
                <w:sz w:val="23"/>
                <w:szCs w:val="23"/>
                <w:lang w:val="ru-RU" w:eastAsia="ru-RU" w:bidi="ar-SA"/>
              </w:rPr>
              <w:t>характеристики</w:t>
            </w:r>
          </w:p>
        </w:tc>
        <w:tc>
          <w:tcPr>
            <w:tcW w:w="266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3"/>
                <w:szCs w:val="23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3"/>
                <w:szCs w:val="23"/>
                <w:highlight w:val="yellow"/>
                <w:lang w:val="ru-RU" w:eastAsia="ru-RU" w:bidi="ar-SA"/>
              </w:rPr>
            </w:r>
          </w:p>
        </w:tc>
        <w:tc>
          <w:tcPr>
            <w:tcW w:w="259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47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Номинальное напряжение ОПН, кВ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96-100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Класс пропускной способности,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2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Наибольшее длительно допустимое рабочее напряжение, кВ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77-80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Номинальный разрядный ток на волне 8/20 мкс, кА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highlight w:val="yellow"/>
              </w:rPr>
            </w:pP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10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Остающееся напряжение при коммутационном импульсе тока 30/60 мкс с амплитудой: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1593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500А, кВ, не более</w:t>
            </w: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1593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1000 А, кВ, не более</w:t>
            </w: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217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230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Остающееся напряжение при грозовом импульсе тока 8/20 мкс с амплитудой: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1593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5000А, кВ, не более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1593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10000А, кВ, не более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1593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20000А, кВ, не более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265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280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315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Заряд пропускной способности, Кл,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0,4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Тепловой заряд, Кл,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1,1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Допустимые повышения напряжения ОПН, нагретого до 60 °С, в течение 10 с, кВ, не менее: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51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Устройство взрывобезопасности для сброса давления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Наличие устройства взрывобезопасности для сброса давления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Предусмотреть интерфейс (цифровой (RS 485) или дискретными сигналами (сухой контакт)) для свази и обмена информации с АСУ ТП (САУ ОС)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Уровень радиопомех при напряжении 1,05 Uнр, мкВ, не более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2500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системе мониторинга технического  состояния ОПН</w:t>
            </w:r>
          </w:p>
        </w:tc>
        <w:tc>
          <w:tcPr>
            <w:tcW w:w="2669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Тип диагностики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Непрерывная, под рабочим напряжением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Тип связи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беспроводная, радиоканал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Частота, МГц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863-870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Измерение полной активной составляющей тока проводимости (утечки)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235" w:hanging="235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измерение 1 и 3 гармоники тока проводимости (утечки)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235" w:hanging="235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фиксация амплитуды тока и числа срабатываний ОПН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074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Calibri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Требования к внешней изоляции по ГОСТ 1516.3-96, ГОСТ Р 52725-2021</w:t>
            </w:r>
          </w:p>
        </w:tc>
        <w:tc>
          <w:tcPr>
            <w:tcW w:w="259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Испытательное напряжение грозового импульса, (при номинальном разрядном токе) кВ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position w:val="3"/>
                <w:sz w:val="23"/>
                <w:szCs w:val="23"/>
                <w:lang w:val="ru-RU" w:eastAsia="ru-RU" w:bidi="ar-SA"/>
              </w:rPr>
              <w:t>1,3</w:t>
            </w:r>
            <w:r>
              <w:rPr>
                <w:rFonts w:eastAsia="Times New Roman" w:cs="Times New Roman"/>
                <w:spacing w:val="-1"/>
                <w:kern w:val="0"/>
                <w:position w:val="3"/>
                <w:sz w:val="23"/>
                <w:szCs w:val="23"/>
                <w:lang w:val="en-US" w:eastAsia="ru-RU" w:bidi="ar-SA"/>
              </w:rPr>
              <w:t>х</w:t>
            </w:r>
            <w:r>
              <w:rPr>
                <w:rFonts w:eastAsia="Times New Roman" w:cs="Times New Roman"/>
                <w:spacing w:val="-1"/>
                <w:kern w:val="0"/>
                <w:position w:val="3"/>
                <w:sz w:val="23"/>
                <w:szCs w:val="23"/>
                <w:lang w:val="ru-RU" w:eastAsia="ru-RU" w:bidi="ar-SA"/>
              </w:rPr>
              <w:t>U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ост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при</w:t>
            </w:r>
            <w:r>
              <w:rPr>
                <w:rFonts w:eastAsia="Times New Roman" w:cs="Times New Roman"/>
                <w:spacing w:val="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3"/>
                <w:kern w:val="0"/>
                <w:position w:val="3"/>
                <w:sz w:val="23"/>
                <w:szCs w:val="23"/>
                <w:lang w:val="ru-RU" w:eastAsia="ru-RU" w:bidi="ar-SA"/>
              </w:rPr>
              <w:t>I</w:t>
            </w:r>
            <w:r>
              <w:rPr>
                <w:rFonts w:eastAsia="Times New Roman" w:cs="Times New Roman"/>
                <w:spacing w:val="-3"/>
                <w:kern w:val="0"/>
                <w:sz w:val="23"/>
                <w:szCs w:val="23"/>
                <w:lang w:val="ru-RU" w:eastAsia="ru-RU" w:bidi="ar-SA"/>
              </w:rPr>
              <w:t>н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Кратковременное (одноминутное) испытательное напряжение промышленной частоты, (для амплитуды 1000А) кВ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1,06хU</w:t>
            </w:r>
            <w:r>
              <w:rPr>
                <w:rFonts w:eastAsia="Times New Roman" w:cs="Times New Roman"/>
                <w:spacing w:val="-1"/>
                <w:kern w:val="0"/>
                <w:position w:val="-3"/>
                <w:sz w:val="23"/>
                <w:szCs w:val="23"/>
                <w:lang w:val="ru-RU" w:eastAsia="ru-RU" w:bidi="ar-SA"/>
              </w:rPr>
              <w:t>ост</w:t>
            </w:r>
            <w:r>
              <w:rPr>
                <w:rFonts w:eastAsia="Times New Roman" w:cs="Times New Roman"/>
                <w:kern w:val="0"/>
                <w:position w:val="-3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при</w:t>
            </w:r>
            <w:r>
              <w:rPr>
                <w:rFonts w:eastAsia="Times New Roman" w:cs="Times New Roman"/>
                <w:spacing w:val="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I</w:t>
            </w:r>
            <w:r>
              <w:rPr>
                <w:rFonts w:eastAsia="Times New Roman" w:cs="Times New Roman"/>
                <w:spacing w:val="-25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position w:val="-3"/>
                <w:sz w:val="23"/>
                <w:szCs w:val="23"/>
                <w:lang w:val="ru-RU" w:eastAsia="ru-RU" w:bidi="ar-SA"/>
              </w:rPr>
              <w:t>30/60</w:t>
            </w:r>
            <w:r>
              <w:rPr>
                <w:rFonts w:eastAsia="Times New Roman" w:cs="Times New Roman"/>
                <w:kern w:val="0"/>
                <w:position w:val="-3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spacing w:val="29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А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position w:val="-3"/>
                <w:sz w:val="23"/>
                <w:szCs w:val="23"/>
                <w:lang w:val="ru-RU" w:eastAsia="ru-RU" w:bidi="ar-SA"/>
              </w:rPr>
              <w:t>max</w:t>
            </w:r>
            <w:r>
              <w:rPr>
                <w:rFonts w:eastAsia="Times New Roman" w:cs="Times New Roman"/>
                <w:spacing w:val="-1"/>
                <w:kern w:val="0"/>
                <w:position w:val="-3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=1000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Удельная длина пути утечки внешней изоляции (по ГОСТ 9920–89 и ПУЭ 7-го издания), см/кВ,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2,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25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При применении полимерной внешней изоляции провести испытания на трекинг-эрозионную стойкость (Да/Нет)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Протокол испытания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074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Технические требования к конструкции, изготовлению и материалам ОПН</w:t>
            </w:r>
          </w:p>
        </w:tc>
        <w:tc>
          <w:tcPr>
            <w:tcW w:w="259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Вид установки ОПН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наружная, опорная,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Тип внешней изоляции (Полимерная/Форфоровая)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Полимерная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Цвет полимерной покрышки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Указать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ОПН поставляется с изолирующим основанием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Масса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оборудования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, кг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Чертёж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Габаритные размеры (ВхШхГ)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, кг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Чертёж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Механическая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нагрузка от тяжения проводов в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горизонтальном направлении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, в соответствии с п.5.4.6.1 ГОС Т Р 52725-2021, Н,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не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500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Конструктивное исполнение контактных выводов должны быть разработаны в соответствии с ГОСТ 10434-82, ГОСТ 21242-75 и ГОСТ 24753-81 и иметь возможность подключения аппаратного зажима А2А (Да/Нет)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Материал контактных выводов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pacing w:val="-1"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Алюминий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 xml:space="preserve"> (Al)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Таблички и надписи, располагаемые на ОПН выполнить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из нержавеющей стали, термостойкая краска стойкой к воздействию солнечных лучей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, ГОСТ Р 52725-2021,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(цвет и наименование согласовываются с Заказчиком)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Да/Нет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pacing w:val="-1"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pacing w:val="-1"/>
                <w:kern w:val="0"/>
                <w:sz w:val="23"/>
                <w:szCs w:val="23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 xml:space="preserve"> по безопасности</w:t>
            </w:r>
          </w:p>
        </w:tc>
        <w:tc>
          <w:tcPr>
            <w:tcW w:w="266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Formattex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Значения тока взрывобезопасности по ГОСТ Р 52725-2021 (пп 5.4.10, 8.18)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кА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Указать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Пожаробезопасность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по ГОСТ Р 52725-2021 (пп 5.4.13, 8.21) Да/Нет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Безопасность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оборудования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по п. 6 ГОСТ Р 52725-2021, Да/Нет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spacing w:val="-8"/>
                <w:kern w:val="0"/>
                <w:sz w:val="23"/>
                <w:szCs w:val="23"/>
                <w:lang w:val="ru-RU" w:eastAsia="ru-RU" w:bidi="ar-SA"/>
              </w:rPr>
              <w:t>Российский</w:t>
            </w:r>
            <w:r>
              <w:rPr>
                <w:rFonts w:eastAsia="Times New Roman" w:cs="Times New Roman"/>
                <w:spacing w:val="-16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8"/>
                <w:kern w:val="0"/>
                <w:sz w:val="23"/>
                <w:szCs w:val="23"/>
                <w:lang w:val="ru-RU" w:eastAsia="ru-RU" w:bidi="ar-SA"/>
              </w:rPr>
              <w:t>Сертификат</w:t>
            </w:r>
            <w:r>
              <w:rPr>
                <w:rFonts w:eastAsia="Times New Roman" w:cs="Times New Roman"/>
                <w:spacing w:val="-19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8"/>
                <w:kern w:val="0"/>
                <w:sz w:val="23"/>
                <w:szCs w:val="23"/>
                <w:lang w:val="ru-RU" w:eastAsia="ru-RU" w:bidi="ar-SA"/>
              </w:rPr>
              <w:t>безопасности, с действующим сроком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дату и номер документа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соответствия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8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ОПН должен иметь декларацию соответствия (статус действующего документа) внесённую  в едином реестре деклараций на сайте https://fsa.gov.ru/ (требование п.6 ст.24 ФЗ-184, должна быть с приложением документов, на основании которых выданы декларации (в том числе, но не ограничиваясь: протокол испытаний и измерений, выполненных согласно  ГОСТ Р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52725-2021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и проведенных в аккредитованной в установленном порядке и независимой лаборатории (испытательного центра), имеющей российский аттестат аккредитации, либо сертификат системы качества, выданный органом по сертификации, аккредитованным в установленном порядке).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40" w:after="4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дату и номер документа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(Декларация о соответствии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pacing w:val="-1"/>
                <w:kern w:val="0"/>
                <w:sz w:val="23"/>
                <w:szCs w:val="23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 xml:space="preserve"> по надежности</w:t>
            </w:r>
          </w:p>
        </w:tc>
        <w:tc>
          <w:tcPr>
            <w:tcW w:w="266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Срок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службы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до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списания,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лет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 не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30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Гарантийный срок эксплуатации, месяцев,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60 месяцев со дня ввода Объекта в эксплуатацию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Гарантийный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срок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сохраняемости,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лет,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074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маркировке, упаковке, транспортировке, перемещению, условиям хранения</w:t>
            </w:r>
          </w:p>
        </w:tc>
        <w:tc>
          <w:tcPr>
            <w:tcW w:w="259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Маркировка, упаковка и консервация по ГОСТ Р 52725-2021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Упаковка оборудования должна (п. 5.8, ГОСТ Р 52725-2021):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459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 xml:space="preserve">соответствовать </w:t>
            </w: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23216-78</w:t>
            </w: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, Да/Нет: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459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>вид транспортной тары: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459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тип внутренней упаковки: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ТЭ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ВУ-I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Условия транспортирования оборудования (п. 9. ГОСТ Р 52725-2021), в части: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459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механических внешних воздействующих факторов, по ГОСТ 23216-78: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459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воздействия климатических факторов, ГОСТ 15150-69: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uppressAutoHyphens w:val="false"/>
              <w:spacing w:before="0" w:after="0"/>
              <w:ind w:left="459" w:hanging="284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количество перегрузок, не более: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Средние (С)</w:t>
            </w:r>
          </w:p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5(ОЖ4)</w:t>
            </w:r>
          </w:p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4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Formattex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Условия хранения ограничителей в заводской упаковке в части воздействия климатических факторов по ГОСТ 15150-69, не менее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5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Formattext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Срок сохраняемости оборудования в упаковке, год, не более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Formattext"/>
              <w:widowControl/>
              <w:suppressAutoHyphens w:val="true"/>
              <w:spacing w:beforeAutospacing="0" w:before="0" w:afterAutospacing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2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pacing w:val="-1"/>
                <w:kern w:val="0"/>
                <w:sz w:val="23"/>
                <w:szCs w:val="23"/>
                <w:lang w:val="ru-RU" w:eastAsia="ru-RU" w:bidi="ar-SA"/>
              </w:rPr>
              <w:t>Комплект поставки</w:t>
            </w:r>
          </w:p>
        </w:tc>
        <w:tc>
          <w:tcPr>
            <w:tcW w:w="266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Ограничитель перенапряжения 110 кВ с полимерной изоляцией в комплекте с изолирующим основанием, регистратором срабатывания и датчиком тока, У1, в комплекте с опорной оцинкованной металлоконструкцией Н=3200 мм шт.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3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Устройство мониторинга состояния ОПН компл.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6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Ограничитель перенапряжения 110 кВ с полимерной изоляцией в комплекте с изолирующим основанием, регистратором срабатывания и датчиком тока, У1 шт.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3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Групповой комплект ЗИП для ОПН и системы мониторинга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2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3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Комплект эксплуатационной документации на русском языке. Паспорт с результатами приемосдаточных испытаний. Руководство по монтажу и эксплуатации.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2668" w:hRule="atLeast"/>
        </w:trPr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16.4</w:t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Доставка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Место поставки/адрес: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16.5</w:t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составных частей, восстановление потребительских свойств.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  <w:t>17.</w:t>
            </w:r>
          </w:p>
        </w:tc>
        <w:tc>
          <w:tcPr>
            <w:tcW w:w="440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сопутствующим услугам</w:t>
            </w:r>
          </w:p>
        </w:tc>
        <w:tc>
          <w:tcPr>
            <w:tcW w:w="2669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17.1</w:t>
            </w:r>
          </w:p>
        </w:tc>
        <w:tc>
          <w:tcPr>
            <w:tcW w:w="44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Входной контроль: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Участие в приемке Оборудования, поступившего с завода на объект Покупателя, рассмотрение и устранение замечаний по комплектации и качеству поставки;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17.2</w:t>
            </w:r>
          </w:p>
        </w:tc>
        <w:tc>
          <w:tcPr>
            <w:tcW w:w="44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Функциональные обязанности: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Осуществление общетехнического и технологического контроля за ходом работ; - Передача Покупателю подробных инструкций по проведению монтажных работ и контроля их качества;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Согласование графиков выполнения работ;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Технические консультации и сопровождение (надзор) работ, выполняемых специалистами монтажной организации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17.3</w:t>
            </w:r>
          </w:p>
        </w:tc>
        <w:tc>
          <w:tcPr>
            <w:tcW w:w="44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Контроль качества выполненного монтажа, проверку в процессе монтажа и пусконаладочных работ соответствия выполненных работ требованиям ТТ, технической документации заводов – изготовителей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17.4</w:t>
            </w:r>
          </w:p>
        </w:tc>
        <w:tc>
          <w:tcPr>
            <w:tcW w:w="44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Своевременную разработку и внесение изменений в конструкторскую документацию в соответствии с решениями, принятыми в процессе шефмонтажа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17.5</w:t>
            </w:r>
          </w:p>
        </w:tc>
        <w:tc>
          <w:tcPr>
            <w:tcW w:w="440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Объем услуг шефмонтажа и Шефналадка должен соответствовать требованиям настоящих ТТ, а также требованиям ГОСТ Р 56203-2015.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17.6</w:t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Шефперсонал должен иметь: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-заверенные копии документов о прохождении обучения и аттестации по специальности или удостоверения установленного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образца, удостоверения по проверке знаний требований охраны труда;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протокол (заверенная копия) об аттестации в области промышленной безопасности установленной формы (в соответствии с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Положением об организации работы по подготовке и аттестации специалистов организаций, поднадзорных Федеральной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службе по экологическому технологическому и атомному надзору) в случае выполнения работ на ОПО, объектах энергетики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(тепловые-, электроустановки и сети);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документы, подтверждающие проверку знаний требований пожарной безопасности.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15"/>
              </w:numPr>
              <w:suppressAutoHyphens w:val="tru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17.7</w:t>
            </w:r>
          </w:p>
        </w:tc>
        <w:tc>
          <w:tcPr>
            <w:tcW w:w="44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Шефмонтажные (услуги) Оборудования должны быть выполнены (с обеспечением контроля метрологических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характеристик контрольно-измерительной приборов (далее по тексту – КИП)), согласно требованиям эксплуатационной документации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и «Программой и методикой приёмочных работ», согласованной с эксплуатационным персоналом Заказчика на Объекте до начала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проведения работ и приёмки оборудования в эксплуатацию.</w:t>
            </w:r>
          </w:p>
        </w:tc>
        <w:tc>
          <w:tcPr>
            <w:tcW w:w="266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Да</w:t>
            </w:r>
          </w:p>
        </w:tc>
        <w:tc>
          <w:tcPr>
            <w:tcW w:w="259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 w:val="false"/>
              <w:numPr>
                <w:ilvl w:val="0"/>
                <w:numId w:val="17"/>
              </w:numPr>
              <w:suppressAutoHyphens w:val="true"/>
              <w:spacing w:before="0" w:after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составу Технической документации</w:t>
            </w:r>
          </w:p>
        </w:tc>
        <w:tc>
          <w:tcPr>
            <w:tcW w:w="266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59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47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08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846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7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40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Техническая в</w:t>
            </w:r>
            <w:r>
              <w:rPr>
                <w:rFonts w:eastAsia="Calibri" w:cs="Times New Roman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составе: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характеристик;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технические описания и инструкции по эксплуатации и ремонту комплектующего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инструкция по транспортированию, разгрузке, хранению, монтажу и вводу в эксплуатацию;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принципиальные схемы управления, защиты и сигнализации;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сигналов;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техническое описание и характеристики измерительных трансформаторов тока;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монтажные схемы и клеммники рядов зажимов каждого ИТТ и клеммной коробки;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Оборудование;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Схемы табличек с паспортными данными и оперативными наименованиями;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Ведомость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Перечень оборудования, необходимого для монтажа и эксплуатации поставленного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26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en-US" w:eastAsia="en-US" w:bidi="ar-SA"/>
              </w:rPr>
              <w:t>Да</w:t>
            </w:r>
          </w:p>
        </w:tc>
        <w:tc>
          <w:tcPr>
            <w:tcW w:w="25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08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/>
      </w:r>
    </w:p>
    <w:p>
      <w:pPr>
        <w:pStyle w:val="Heading2"/>
        <w:numPr>
          <w:ilvl w:val="0"/>
        </w:numPr>
        <w:ind w:left="432" w:hanging="432"/>
        <w:rPr>
          <w:lang w:val="ru-RU"/>
        </w:rPr>
      </w:pPr>
      <w:bookmarkStart w:id="44" w:name="_Toc232082964"/>
      <w:r>
        <w:rPr>
          <w:lang w:val="ru-RU"/>
        </w:rPr>
        <w:t xml:space="preserve">Таблица 3.2 </w:t>
      </w:r>
      <w:r>
        <w:rPr/>
        <w:t>Требования к</w:t>
      </w:r>
      <w:r>
        <w:rPr>
          <w:lang w:val="ru-RU"/>
        </w:rPr>
        <w:t xml:space="preserve"> шинной опоре 110 кВ.</w:t>
      </w:r>
      <w:bookmarkEnd w:id="44"/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Style w:val="affffc"/>
        <w:tblW w:w="150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43"/>
        <w:gridCol w:w="4501"/>
        <w:gridCol w:w="3179"/>
        <w:gridCol w:w="1846"/>
        <w:gridCol w:w="2783"/>
        <w:gridCol w:w="2117"/>
      </w:tblGrid>
      <w:tr>
        <w:trPr>
          <w:tblHeader w:val="true"/>
        </w:trPr>
        <w:tc>
          <w:tcPr>
            <w:tcW w:w="643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№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п/п</w:t>
            </w:r>
          </w:p>
        </w:tc>
        <w:tc>
          <w:tcPr>
            <w:tcW w:w="4501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179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Требование заказчика</w:t>
            </w:r>
          </w:p>
        </w:tc>
        <w:tc>
          <w:tcPr>
            <w:tcW w:w="4629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17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blHeader w:val="true"/>
        </w:trPr>
        <w:tc>
          <w:tcPr>
            <w:tcW w:w="643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3179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783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117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blHeader w:val="true"/>
        </w:trPr>
        <w:tc>
          <w:tcPr>
            <w:tcW w:w="643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1</w:t>
            </w:r>
          </w:p>
        </w:tc>
        <w:tc>
          <w:tcPr>
            <w:tcW w:w="450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2</w:t>
            </w:r>
          </w:p>
        </w:tc>
        <w:tc>
          <w:tcPr>
            <w:tcW w:w="3179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3</w:t>
            </w:r>
          </w:p>
        </w:tc>
        <w:tc>
          <w:tcPr>
            <w:tcW w:w="1846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4</w:t>
            </w:r>
          </w:p>
        </w:tc>
        <w:tc>
          <w:tcPr>
            <w:tcW w:w="2783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5</w:t>
            </w:r>
          </w:p>
        </w:tc>
        <w:tc>
          <w:tcPr>
            <w:tcW w:w="2117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Основные параметры</w:t>
            </w:r>
          </w:p>
        </w:tc>
        <w:tc>
          <w:tcPr>
            <w:tcW w:w="3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1846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Наименование предприятия-изготовителя (производителя) Оборудования/Страна регистрации производителя Оборудования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Указать/ 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Условное обозначение оборудования (Тип, марка, артикул)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Страна происхождения Оборудования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(в соответствии с Общероссийским классификатором стран мира (утв. Постановлением Госстандарта России от 14.12.2001 N 529-ст.).)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 код по ОКСМ/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 краткое наименование страны мира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Указание </w:t>
            </w:r>
            <w:r>
              <w:rPr>
                <w:rFonts w:eastAsia="Times New Roman" w:cs="Times New Roman"/>
                <w:bCs/>
                <w:kern w:val="0"/>
                <w:sz w:val="23"/>
                <w:szCs w:val="23"/>
                <w:lang w:val="ru-RU" w:eastAsia="ru-RU" w:bidi="ar-SA"/>
              </w:rPr>
              <w:t>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en-US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Сертификат (Декларация) о соответствии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Тип конструкции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Опорная с фарфоровой изоляцией, для крепления проводов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Количество поставляемого оборудования, шт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.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3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uppressAutoHyphens w:val="false"/>
              <w:spacing w:before="0" w:after="0"/>
              <w:ind w:left="312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Номинальное напряжение, кВ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110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Наибольшее рабочее напряжение, кВ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126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Номинальная частота, Гц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50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электрической прочности изоляции по ГОСТ 1516.3 –96</w:t>
            </w:r>
          </w:p>
        </w:tc>
        <w:tc>
          <w:tcPr>
            <w:tcW w:w="3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Испытательное напряжение полного грозового импульса, кВ не менее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450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Кратковременное (одноминутное) испытательное напряжение промышленной частоты 50 Гц, кВ: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- в сухом состоянии;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- под дождем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230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200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Испытательное переменное напряжение изолятора в загрязненном и увлажненном состоянии, не менее, кВ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80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Удельная длина пути утечки внешней изоляции по ГОСТ 9920, см/кВ, не менее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2,25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1368" w:hRule="atLeast"/>
        </w:trPr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Уровень радиопомех при   1,1 х Uн.р/√3 не должен превышать, дБ. 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При этом на изоляторах не должно быть видимой короны.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54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highlight w:val="green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Требования безопасности</w:t>
            </w:r>
          </w:p>
        </w:tc>
        <w:tc>
          <w:tcPr>
            <w:tcW w:w="3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Шинные опоры должны соответствовать требованиям: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ГОС Т Р 52034-2023, ГОСТ 12.2.007.3-75, ГОСТ 1516.3-96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Номер и дата выдачи Российского сертификата безопасности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Контактная площадка для подсоединения заземляющего проводника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конструкции, изготовлению и материалам:</w:t>
            </w:r>
          </w:p>
        </w:tc>
        <w:tc>
          <w:tcPr>
            <w:tcW w:w="3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Тип конструкции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Опорная,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для крепления одного провода, с шинодержателем и с опорной металлоконструкцией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Тип внешней изоляции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Фарфор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Цвет фарфора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Шинные опоры поставляются с металлической, оцинкованной методом горячего цинкования, конструкцией высотой Н=4000 мм для совместной установки с ОПН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Нормированный механический разрушающий момент при приложении изгибающего усилия к верхнему фланцу по ГОСТ Р 52034-2023, кН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Требования к качеству поверхности керамических (фарфоровых) изоляторов 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В соответствии с </w:t>
            </w:r>
          </w:p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ГОСТ 13873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Шинная опора поставляется с шинодержателем для одного провода типа АС сечением 120/19 мм</w:t>
            </w:r>
            <w:r>
              <w:rPr>
                <w:rFonts w:eastAsia="Times New Roman" w:cs="Times New Roman"/>
                <w:kern w:val="0"/>
                <w:sz w:val="23"/>
                <w:szCs w:val="23"/>
                <w:vertAlign w:val="superscript"/>
                <w:lang w:val="ru-RU" w:eastAsia="ru-RU" w:bidi="ar-SA"/>
              </w:rPr>
              <w:t>2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Габаритно-установочный чертеж шинной опоры с опорной конструкцией Н=4000 мм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Представить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Масса шинной опоры, кг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Масса опорной конструкции Н=4000мм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Табличка с надписями завода изготовителя В соответствие с ГОСТ Р 52034-2023. из нержавеющей стали, термостойкая краска (стойкая к воздействию солнечных лучей)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680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  <w:highlight w:val="green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Климатическое исполнение ГОСТ 15150-69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Категория размещения по ГОСТ 15150-69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Верхнее рабочее значение температуры воздуха при эксплуатации, ˚С: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плюс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4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Нижнее значение температуры воздуха при эксплуатации, ˚С (для климатического исполнения У):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минус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45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Степень загрязнения изоляции оборудования по ГОСТ 9920–89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(I – легкая/II – средняя/III – сильная/IV - очень сильная), не менее: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II - средняя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Оборудование должно нормально работать при следующих условиях: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false"/>
              <w:spacing w:before="0" w:after="0"/>
              <w:ind w:left="323" w:hanging="283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толщина стенки гололёда, мм, не менее: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uppressAutoHyphens w:val="false"/>
              <w:spacing w:before="0" w:after="0"/>
              <w:ind w:left="323" w:hanging="283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допустимая скорость ветра при наличии/ отсутствии гололёда, м/с, не менее: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20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en-US" w:eastAsia="ru-RU" w:bidi="ar-SA"/>
              </w:rPr>
              <w:t>15/ 40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Допустимая высота установки над уровнем моря, м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до 1000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Сейсмостойкость, баллов по шкале MSK-64, не менее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9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Протокол/ Акт испытаний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spacing w:val="-1"/>
                <w:kern w:val="0"/>
                <w:sz w:val="23"/>
                <w:szCs w:val="23"/>
                <w:lang w:val="ru-RU" w:eastAsia="ru-RU" w:bidi="ar-SA"/>
              </w:rPr>
              <w:t>Требования</w:t>
            </w: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 xml:space="preserve"> по надежности</w:t>
            </w:r>
          </w:p>
        </w:tc>
        <w:tc>
          <w:tcPr>
            <w:tcW w:w="3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1846" w:type="dxa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Срок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службы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до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списания,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лет</w:t>
            </w: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 xml:space="preserve">  не</w:t>
            </w: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 xml:space="preserve"> менее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30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bCs/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Гарантийный срок эксплуатации, месяцев, не менее</w:t>
            </w:r>
          </w:p>
        </w:tc>
        <w:tc>
          <w:tcPr>
            <w:tcW w:w="31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36 месяцев со дня ввода Объекта в эксплуатацию</w:t>
            </w:r>
          </w:p>
        </w:tc>
        <w:tc>
          <w:tcPr>
            <w:tcW w:w="18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FFFFFF" w:themeFill="background1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Срок службы до среднего (капитального) ремонта, лет, не менее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Указать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Указание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pacing w:val="-1"/>
                <w:sz w:val="23"/>
                <w:szCs w:val="23"/>
              </w:rPr>
            </w:pPr>
            <w:r>
              <w:rPr>
                <w:rFonts w:eastAsia="Times New Roman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680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Маркировка, упаковка и консервация по ГОСТ 23216-78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Наличие датчика ускорений с фиксацией времени событий на транспортной упаковке для контроля условий транспортировки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Таможенная очистка и доставка до места назначения (площадка строительства) осуществляется за счет подрядчика и включено в стоимость оборудования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Все надписи должны быть выполнены на русском языке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Условия хранения по ГОСТ 15150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8ОЖ3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Условия транспортирования согласно ГОСТ 23216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ind w:left="72" w:hanging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Средние (С)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Срок сохраняемости, не менее, лет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3179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Эксплуатация, монтаж шинных опор должны соответствовать требованиям Правил технической эксплуатации электрических сетей, Правил организации технического обслуживания и ремонта объектов электроэнергетики, Правил устройств электроустановок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Наличие в заводской документации требований по мерам безопасности, перечня составных частей и методов утилизации изделий, представляющих опасность для жизни, здоровью людей и окружающей среды после окончания срока службы оборудования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Технические условия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uppressAutoHyphens w:val="fals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680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Шинная опора 110 кВ с фарфоровой изоляцией для крепления одного провода, УХЛ1, сейсмостойкость 9 баллов по шкале MSK-64 в комплекте с шинодержателем для одного провода типа АС сечением 12/19 мм</w:t>
            </w:r>
            <w:r>
              <w:rPr>
                <w:rFonts w:eastAsia="Calibri" w:cs="Times New Roman"/>
                <w:kern w:val="0"/>
                <w:sz w:val="23"/>
                <w:szCs w:val="23"/>
                <w:vertAlign w:val="superscript"/>
                <w:lang w:val="ru-RU" w:eastAsia="ru-RU" w:bidi="ar-SA"/>
              </w:rPr>
              <w:t>2</w:t>
            </w: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 xml:space="preserve"> , с оцинкованной опорной металлоконструкцией высотой H=4000мм, компл. для совместной установки с ОПН-110 кВ шт.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</w:t>
            </w:r>
          </w:p>
        </w:tc>
        <w:tc>
          <w:tcPr>
            <w:tcW w:w="18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Эксплуатационная документация (паспорт, руководство по эксплуатации шинных опор, протоколы приёмо-сдаточных испытаний, габаритный чертеж и т.д.) на русском языке предоставляется при поставке оборудования, на электронном носителе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на электронном носителе, компл.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на бумажном носителе, компл.</w:t>
            </w:r>
          </w:p>
        </w:tc>
        <w:tc>
          <w:tcPr>
            <w:tcW w:w="317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1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3</w:t>
            </w:r>
          </w:p>
        </w:tc>
        <w:tc>
          <w:tcPr>
            <w:tcW w:w="18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Габаритный и установочный чертежи шинной опоры и опорной металлической конструкции с указанием размеров и весовых характеристик, а также нагрузки на фундамент с опорной конструкцией Н=4000 мм;</w:t>
            </w:r>
          </w:p>
        </w:tc>
        <w:tc>
          <w:tcPr>
            <w:tcW w:w="3179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1090" w:hRule="atLeast"/>
        </w:trPr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Техническое описание и инструкция по эксплуатации шинных опор, включающая документацию по плановому ремонту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946" w:hRule="atLeast"/>
        </w:trPr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Инструкция по транспортированию, разгрузке, хранению, монтажу и вводу в эксплуатацию шинных опор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946" w:hRule="atLeast"/>
        </w:trPr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Calibri" w:cs="Times New Roman"/>
                <w:spacing w:val="-1"/>
                <w:kern w:val="0"/>
                <w:sz w:val="23"/>
                <w:szCs w:val="23"/>
                <w:lang w:val="en-US" w:eastAsia="ru-RU" w:bidi="ar-SA"/>
              </w:rPr>
              <w:t>Доставка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Место поставки/адрес: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Россия, Чеченская Республика, Шатойский муниципальный район, Нихалойское и Памятойское сельские поселения, координаты (широта 42.785103, долгота 45.615113)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требованиями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4"/>
              </w:numPr>
              <w:suppressAutoHyphens w:val="true"/>
              <w:spacing w:before="0" w:after="0"/>
              <w:ind w:left="312" w:hanging="131"/>
              <w:contextualSpacing w:val="false"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>
          <w:trHeight w:val="946" w:hRule="atLeast"/>
        </w:trPr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Оборудование должно быть новым, ранее не использованным и соответствовать техническим требованиям Заказчика. Под новым следует понимать оборудование, которое не было в употреблении, не проходило ремонт, в том числе восстановление, замену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pacing w:val="-1"/>
                <w:sz w:val="23"/>
                <w:szCs w:val="23"/>
              </w:rPr>
            </w:pPr>
            <w:r>
              <w:rPr>
                <w:rFonts w:eastAsia="Calibri" w:cs="Times New Roman"/>
                <w:spacing w:val="-1"/>
                <w:kern w:val="0"/>
                <w:sz w:val="23"/>
                <w:szCs w:val="23"/>
                <w:lang w:val="ru-RU" w:eastAsia="ru-RU" w:bidi="ar-SA"/>
              </w:rPr>
              <w:t>составных частей, восстановление потребительских свойств.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val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en-US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  <w:shd w:color="auto" w:fill="E7E6E6" w:themeFill="background2" w:val="clear"/>
            <w:vAlign w:val="center"/>
          </w:tcPr>
          <w:p>
            <w:pPr>
              <w:pStyle w:val="ListParagraph"/>
              <w:widowControl/>
              <w:numPr>
                <w:ilvl w:val="0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7680" w:type="dxa"/>
            <w:gridSpan w:val="2"/>
            <w:tcBorders/>
            <w:shd w:color="auto" w:fill="E7E6E6" w:themeFill="background2" w:val="clea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3"/>
                <w:szCs w:val="23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1846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783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  <w:lang w:val="en-US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en-US" w:eastAsia="ru-RU" w:bidi="ar-SA"/>
              </w:rPr>
              <w:t>-//-</w:t>
            </w:r>
          </w:p>
        </w:tc>
      </w:tr>
      <w:tr>
        <w:trPr>
          <w:trHeight w:val="6445" w:hRule="atLeast"/>
        </w:trPr>
        <w:tc>
          <w:tcPr>
            <w:tcW w:w="64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numPr>
                <w:ilvl w:val="1"/>
                <w:numId w:val="18"/>
              </w:numPr>
              <w:suppressAutoHyphens w:val="fals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6435" w:leader="none"/>
                <w:tab w:val="left" w:pos="7875" w:leader="none"/>
              </w:tabs>
              <w:suppressAutoHyphens w:val="true"/>
              <w:spacing w:before="0" w:after="0"/>
              <w:jc w:val="left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Во всем неоговоренном шинные опоры должны соответствовать требованиям следующей нормативной документации: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Р 2.601-2019 Единая система конструкторской документации (ЕСКД). Эксплуатационные документы;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Р 2.610-2019 Единая система конструкторской документации. Правила выполнения эксплуатационных документов;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Р 52034-23. Изоляторы опорные из керамики и стекла на напряжение свыше 1000 В. Общие технические условия;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12.2.007.0-75 Система стандартов безопасности труда. Изделия электротехнические. Общие требования безопасности.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12.2.003-91 Система стандартов безопасности труда. Оборудование производственное. Общие требования безопасности;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1516.3-96 Электрооборудование переменного тока на напряжение от 1 до 750 кВ. Требования к электрической прочности изоляции;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9920-89 Электроустановки переменного тока на напряжение от 3 до 750 кВ. Длина пути утечки внешней изоляции;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ГОСТ 13873 Изоляторы керамические. Требования к качеству поверхности;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tabs>
                <w:tab w:val="clear" w:pos="708"/>
                <w:tab w:val="left" w:pos="6435" w:leader="none"/>
                <w:tab w:val="left" w:pos="7875" w:leader="none"/>
              </w:tabs>
              <w:suppressAutoHyphens w:val="false"/>
              <w:spacing w:before="0" w:after="0"/>
              <w:contextualSpacing/>
              <w:jc w:val="left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ГОСТ 23216 Изделия электротехнические. Хранение, транспортирование, временная противокоррозионная защита, упаковка. Общие требования и методы испытаний</w:t>
            </w:r>
          </w:p>
        </w:tc>
        <w:tc>
          <w:tcPr>
            <w:tcW w:w="317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Да</w:t>
            </w:r>
          </w:p>
        </w:tc>
        <w:tc>
          <w:tcPr>
            <w:tcW w:w="1846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kern w:val="0"/>
                <w:sz w:val="23"/>
                <w:szCs w:val="23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783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/>
              <w:suppressAutoHyphens w:val="true"/>
              <w:spacing w:before="0" w:after="0"/>
              <w:ind w:left="312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117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9"/>
              </w:numPr>
              <w:suppressAutoHyphens w:val="true"/>
              <w:spacing w:before="0" w:after="0"/>
              <w:contextualSpacing w:val="false"/>
              <w:jc w:val="center"/>
              <w:rPr>
                <w:b/>
                <w:sz w:val="23"/>
                <w:szCs w:val="23"/>
              </w:rPr>
            </w:pPr>
            <w:r>
              <w:rPr>
                <w:rFonts w:cs="Times New Roman"/>
                <w:b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ru-RU" w:eastAsia="ru-RU" w:bidi="ar-SA"/>
              </w:rPr>
              <w:t>Требования к составу Технической документации</w:t>
            </w:r>
          </w:p>
        </w:tc>
        <w:tc>
          <w:tcPr>
            <w:tcW w:w="3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33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b/>
                <w:kern w:val="0"/>
                <w:sz w:val="23"/>
                <w:szCs w:val="23"/>
                <w:lang w:val="ru-RU" w:eastAsia="ru-RU" w:bidi="ar-SA"/>
              </w:rPr>
              <w:t>-//-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 w:cs="Times New Roman"/>
                <w:b/>
                <w:kern w:val="0"/>
                <w:sz w:val="18"/>
                <w:szCs w:val="18"/>
                <w:lang w:val="ru-RU" w:eastAsia="ru-RU" w:bidi="ar-SA"/>
              </w:rPr>
            </w:r>
          </w:p>
        </w:tc>
      </w:tr>
      <w:tr>
        <w:trPr/>
        <w:tc>
          <w:tcPr>
            <w:tcW w:w="643" w:type="dxa"/>
            <w:tcBorders/>
          </w:tcPr>
          <w:p>
            <w:pPr>
              <w:pStyle w:val="ListParagraph"/>
              <w:widowControl w:val="false"/>
              <w:numPr>
                <w:ilvl w:val="1"/>
                <w:numId w:val="19"/>
              </w:numPr>
              <w:suppressAutoHyphens w:val="true"/>
              <w:spacing w:before="0" w:after="0"/>
              <w:ind w:left="0" w:hanging="0"/>
              <w:contextualSpacing w:val="false"/>
              <w:jc w:val="center"/>
              <w:rPr>
                <w:sz w:val="23"/>
                <w:szCs w:val="23"/>
              </w:rPr>
            </w:pPr>
            <w:r>
              <w:rPr>
                <w:rFonts w:cs="Times New Roman"/>
                <w:kern w:val="0"/>
                <w:sz w:val="23"/>
                <w:szCs w:val="23"/>
                <w:lang w:val="ru-RU" w:eastAsia="ru-RU" w:bidi="ar-SA"/>
              </w:rPr>
            </w:r>
          </w:p>
        </w:tc>
        <w:tc>
          <w:tcPr>
            <w:tcW w:w="450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Техническая в</w:t>
            </w:r>
            <w:r>
              <w:rPr>
                <w:rFonts w:eastAsia="Calibri" w:cs="Times New Roman"/>
                <w:kern w:val="0"/>
                <w:sz w:val="23"/>
                <w:szCs w:val="23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составе: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габаритные и установочные чертежи, шкафов и комплектующего Оборудования с указанием размеров, и весовых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характеристик;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техническое описание и инструкция по эксплуатации, включающая документацию по плановому ремонту;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технические описания и инструкции по эксплуатации и ремонту комплектующего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инструкция по транспортированию, разгрузке, хранению, монтажу и вводу в эксплуатацию;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принципиальные схемы управления, защиты и сигнализации;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принципиальные схемы системы контроля и диагностики с указанием технических характеристик входных и выходных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сигналов;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техническое описание и характеристики измерительных трансформаторов тока;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кривые намагничивания и сопротивления вторичных обмоток измерительных трансформаторов тока (далее - ИТТ);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монтажные схемы и клеммники рядов зажимов каждого ИТТ и клеммной коробки;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согласованный с Заказчиком перечень испытаний Оборудования и комплектующего оборудования, производимых на заводе-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изготовителе и на месте установки, а также протоколы всех испытаний типы и технические характеристики ИТТ, встроенных в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Оборудование;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Схемы табличек с паспортными данными и оперативными наименованиями;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Ведомость ЗИП;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Перечень оборудования, необходимого для монтажа и эксплуатации поставленного оборудования;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- Цифровая информационная 3-D модель оборудования, обеспечивающая трехмерную визуализацию элементов.</w:t>
            </w:r>
          </w:p>
        </w:tc>
        <w:tc>
          <w:tcPr>
            <w:tcW w:w="31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en-US" w:eastAsia="en-US" w:bidi="ar-SA"/>
              </w:rPr>
              <w:t>Да</w:t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kern w:val="0"/>
                <w:sz w:val="23"/>
                <w:szCs w:val="23"/>
                <w:lang w:val="ru-RU" w:eastAsia="en-US" w:bidi="ar-SA"/>
              </w:rPr>
              <w:t>Согласие с требованием</w:t>
            </w:r>
          </w:p>
        </w:tc>
        <w:tc>
          <w:tcPr>
            <w:tcW w:w="278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3"/>
                <w:szCs w:val="23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3"/>
                <w:szCs w:val="23"/>
                <w:lang w:val="en-US" w:eastAsia="en-US" w:bidi="ar-SA"/>
              </w:rPr>
              <w:t>-//-</w:t>
            </w:r>
          </w:p>
        </w:tc>
        <w:tc>
          <w:tcPr>
            <w:tcW w:w="211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</w:r>
          </w:p>
        </w:tc>
      </w:tr>
    </w:tbl>
    <w:p>
      <w:pPr>
        <w:pStyle w:val="Normal"/>
        <w:rPr>
          <w:lang w:eastAsia="x-none"/>
        </w:rPr>
      </w:pPr>
      <w:r>
        <w:rPr/>
        <w:br w:type="textWrapping" w:clear="all"/>
      </w:r>
    </w:p>
    <w:sectPr>
      <w:headerReference w:type="default" r:id="rId8"/>
      <w:headerReference w:type="first" r:id="rId9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219EBE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219EBE2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34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decimal"/>
      <w:lvlText w:val=" %1 "/>
      <w:lvlJc w:val="left"/>
      <w:pPr>
        <w:tabs>
          <w:tab w:val="num" w:pos="0"/>
        </w:tabs>
        <w:ind w:left="-207" w:hanging="360"/>
      </w:pPr>
      <w:rPr/>
    </w:lvl>
    <w:lvl w:ilvl="1">
      <w:start w:val="1"/>
      <w:numFmt w:val="decimal"/>
      <w:lvlText w:val=" %1.%2 "/>
      <w:lvlJc w:val="left"/>
      <w:pPr>
        <w:tabs>
          <w:tab w:val="num" w:pos="513"/>
        </w:tabs>
        <w:ind w:left="513" w:hanging="360"/>
      </w:pPr>
      <w:rPr/>
    </w:lvl>
    <w:lvl w:ilvl="2">
      <w:start w:val="1"/>
      <w:numFmt w:val="decimal"/>
      <w:lvlText w:val=" %1.%2.%3 "/>
      <w:lvlJc w:val="left"/>
      <w:pPr>
        <w:tabs>
          <w:tab w:val="num" w:pos="1233"/>
        </w:tabs>
        <w:ind w:left="1233" w:hanging="360"/>
      </w:pPr>
      <w:rPr/>
    </w:lvl>
    <w:lvl w:ilvl="3">
      <w:start w:val="1"/>
      <w:numFmt w:val="decimal"/>
      <w:lvlText w:val=" %1.%2.%3.%4 "/>
      <w:lvlJc w:val="left"/>
      <w:pPr>
        <w:tabs>
          <w:tab w:val="num" w:pos="1953"/>
        </w:tabs>
        <w:ind w:left="1953" w:hanging="360"/>
      </w:pPr>
      <w:rPr/>
    </w:lvl>
    <w:lvl w:ilvl="4">
      <w:start w:val="1"/>
      <w:numFmt w:val="decimal"/>
      <w:lvlText w:val=" %1.%2.%3.%4.%5 "/>
      <w:lvlJc w:val="left"/>
      <w:pPr>
        <w:tabs>
          <w:tab w:val="num" w:pos="2673"/>
        </w:tabs>
        <w:ind w:left="2673" w:hanging="360"/>
      </w:pPr>
      <w:rPr/>
    </w:lvl>
    <w:lvl w:ilvl="5">
      <w:start w:val="1"/>
      <w:numFmt w:val="decimal"/>
      <w:lvlText w:val=" %1.%2.%3.%4.%5.%6 "/>
      <w:lvlJc w:val="left"/>
      <w:pPr>
        <w:tabs>
          <w:tab w:val="num" w:pos="3393"/>
        </w:tabs>
        <w:ind w:left="3393" w:hanging="360"/>
      </w:pPr>
      <w:rPr/>
    </w:lvl>
    <w:lvl w:ilvl="6">
      <w:start w:val="1"/>
      <w:numFmt w:val="decimal"/>
      <w:lvlText w:val=" %1.%2.%3.%4.%5.%6.%7 "/>
      <w:lvlJc w:val="left"/>
      <w:pPr>
        <w:tabs>
          <w:tab w:val="num" w:pos="4113"/>
        </w:tabs>
        <w:ind w:left="4113" w:hanging="36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4833"/>
        </w:tabs>
        <w:ind w:left="4833" w:hanging="36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5553"/>
        </w:tabs>
        <w:ind w:left="5553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8"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9">
    <w:lvl w:ilvl="0">
      <w:start w:val="29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9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647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uiPriority w:val="9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uiPriority w:val="9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 w:customStyle="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uiPriority w:val="9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uiPriority w:val="9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uiPriority w:val="9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5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link w:val="Textbody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3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16" w:customStyle="1">
    <w:name w:val="Нижний колонтитул Знак"/>
    <w:basedOn w:val="DefaultParagraphFont"/>
    <w:uiPriority w:val="99"/>
    <w:qFormat/>
    <w:rsid w:val="008a4cbc"/>
    <w:rPr>
      <w:sz w:val="28"/>
      <w:szCs w:val="28"/>
    </w:rPr>
  </w:style>
  <w:style w:type="character" w:styleId="Match" w:customStyle="1">
    <w:name w:val="match"/>
    <w:basedOn w:val="DefaultParagraphFont"/>
    <w:qFormat/>
    <w:rsid w:val="008a4cb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8a4cbc"/>
    <w:rPr>
      <w:rFonts w:ascii="Tahoma" w:hAnsi="Tahoma" w:cs="Tahoma"/>
      <w:sz w:val="16"/>
      <w:szCs w:val="16"/>
    </w:rPr>
  </w:style>
  <w:style w:type="character" w:styleId="Linenumber">
    <w:name w:val="line number"/>
    <w:qFormat/>
    <w:rsid w:val="008a4cbc"/>
    <w:rPr/>
  </w:style>
  <w:style w:type="character" w:styleId="Style18" w:customStyle="1">
    <w:name w:val="Символ нумерации"/>
    <w:qFormat/>
    <w:rPr/>
  </w:style>
  <w:style w:type="character" w:styleId="Internetlink" w:customStyle="1">
    <w:name w:val="Internet link"/>
    <w:qFormat/>
    <w:rsid w:val="00bc25eb"/>
    <w:rPr>
      <w:color w:val="000080"/>
      <w:u w:val="single"/>
    </w:rPr>
  </w:style>
  <w:style w:type="paragraph" w:styleId="Style19" w:customStyle="1">
    <w:name w:val="Заголовок"/>
    <w:basedOn w:val="Standard"/>
    <w:next w:val="Textbody"/>
    <w:qFormat/>
    <w:rsid w:val="00bc25eb"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BodyText">
    <w:name w:val="Body Text"/>
    <w:basedOn w:val="Normal"/>
    <w:link w:val="Style6"/>
    <w:qFormat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 w:customStyle="1">
    <w:name w:val="Указатель"/>
    <w:basedOn w:val="Standard"/>
    <w:qFormat/>
    <w:rsid w:val="00bc25eb"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21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2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3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5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6" w:customStyle="1">
    <w:name w:val="Раздел регламента"/>
    <w:basedOn w:val="Normal"/>
    <w:qFormat/>
    <w:rsid w:val="00e228fa"/>
    <w:pPr/>
    <w:rPr/>
  </w:style>
  <w:style w:type="paragraph" w:styleId="Style27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7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8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9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9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0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1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2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3" w:customStyle="1">
    <w:name w:val="Подподпункт"/>
    <w:basedOn w:val="Style25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4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5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6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7" w:customStyle="1">
    <w:name w:val="Содержимое врезки"/>
    <w:basedOn w:val="Normal"/>
    <w:qFormat/>
    <w:pPr/>
    <w:rPr/>
  </w:style>
  <w:style w:type="paragraph" w:styleId="Style38" w:customStyle="1">
    <w:name w:val="Содержимое таблицы"/>
    <w:basedOn w:val="Standard"/>
    <w:qFormat/>
    <w:rsid w:val="00bc25eb"/>
    <w:pPr>
      <w:widowControl w:val="false"/>
      <w:suppressLineNumbers/>
    </w:pPr>
    <w:rPr/>
  </w:style>
  <w:style w:type="paragraph" w:styleId="Style39" w:customStyle="1">
    <w:name w:val="Заголовок таблицы"/>
    <w:basedOn w:val="Style38"/>
    <w:qFormat/>
    <w:rsid w:val="00bc25eb"/>
    <w:pPr>
      <w:jc w:val="center"/>
    </w:pPr>
    <w:rPr>
      <w:b/>
      <w:bCs/>
    </w:rPr>
  </w:style>
  <w:style w:type="paragraph" w:styleId="TableParagraph" w:customStyle="1">
    <w:name w:val="Table Paragraph"/>
    <w:basedOn w:val="Normal"/>
    <w:uiPriority w:val="1"/>
    <w:qFormat/>
    <w:pPr>
      <w:widowControl w:val="false"/>
    </w:pPr>
    <w:rPr>
      <w:rFonts w:eastAsia="" w:eastAsiaTheme="minorEastAsia"/>
      <w:sz w:val="24"/>
      <w:szCs w:val="24"/>
    </w:rPr>
  </w:style>
  <w:style w:type="paragraph" w:styleId="Headertext" w:customStyle="1">
    <w:name w:val="header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8a4cbc"/>
    <w:pPr>
      <w:spacing w:beforeAutospacing="1" w:afterAutospacing="1"/>
    </w:pPr>
    <w:rPr>
      <w:sz w:val="24"/>
      <w:szCs w:val="24"/>
    </w:rPr>
  </w:style>
  <w:style w:type="paragraph" w:styleId="Standard" w:customStyle="1">
    <w:name w:val="Standard"/>
    <w:qFormat/>
    <w:rsid w:val="00bc25eb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Arial Unicode MS"/>
      <w:color w:val="auto"/>
      <w:kern w:val="2"/>
      <w:sz w:val="24"/>
      <w:szCs w:val="24"/>
      <w:lang w:eastAsia="zh-CN" w:bidi="hi-IN" w:val="ru-RU"/>
    </w:rPr>
  </w:style>
  <w:style w:type="paragraph" w:styleId="Textbody" w:customStyle="1">
    <w:name w:val="Text body"/>
    <w:basedOn w:val="Standard"/>
    <w:qFormat/>
    <w:rsid w:val="00bc25eb"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954751991" w:customStyle="1">
    <w:name w:val="3495475199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c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e">
    <w:name w:val="Сетка таблицы2"/>
    <w:basedOn w:val="a5"/>
    <w:uiPriority w:val="39"/>
    <w:rsid w:val="00e94bd7"/>
    <w:rPr>
      <w:rFonts w:asciiTheme="minorHAnsi" w:hAnsiTheme="minorHAnsi" w:eastAsiaTheme="minorHAnsi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DE89-5848-4DE3-92D5-516189587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Application>AlterOffice/3.4.0.9$Linux_X86_64 LibreOffice_project/b8daf9e823b1a5463a2f48435ddc2e8696e7d4fc</Application>
  <AppVersion>15.0000</AppVersion>
  <Pages>34</Pages>
  <Words>4532</Words>
  <Characters>29816</Characters>
  <CharactersWithSpaces>32971</CharactersWithSpaces>
  <Paragraphs>1153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2026-05-12T05:06:00Z</dcterms:created>
  <dc:creator>Быстров Олег Геннадьевич</dc:creator>
  <dc:description/>
  <dc:language>ru-RU</dc:language>
  <cp:lastModifiedBy>abdurahmanovms@corp.gidroogk.com</cp:lastModifiedBy>
  <cp:lastPrinted>2006-07-26T14:04:00Z</cp:lastPrinted>
  <dcterms:modified xsi:type="dcterms:W3CDTF">2026-06-11T15:10:25Z</dcterms:modified>
  <cp:revision>43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