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uppressAutoHyphens w:val="true"/>
        <w:jc w:val="center"/>
        <w:rPr>
          <w:rFonts w:eastAsia="Calibri"/>
          <w:b/>
          <w:caps/>
        </w:rPr>
      </w:pPr>
      <w:r>
        <w:rPr>
          <w:rFonts w:eastAsia="Calibri"/>
          <w:b/>
          <w:caps/>
        </w:rPr>
        <w:t>Запрос технико-коммерческих предложений</w:t>
      </w:r>
    </w:p>
    <w:p>
      <w:pPr>
        <w:pStyle w:val="Normal"/>
        <w:keepNext w:val="true"/>
        <w:keepLines/>
        <w:suppressAutoHyphens w:val="true"/>
        <w:jc w:val="center"/>
        <w:rPr>
          <w:rFonts w:eastAsia="Calibri"/>
          <w:b/>
          <w:caps/>
        </w:rPr>
      </w:pPr>
      <w:r>
        <w:rPr>
          <w:rFonts w:eastAsia="Calibri"/>
          <w:b/>
          <w:caps/>
        </w:rPr>
        <w:t xml:space="preserve">для проведения мониторинга цен </w:t>
      </w:r>
    </w:p>
    <w:p>
      <w:pPr>
        <w:pStyle w:val="Normal"/>
        <w:keepNext w:val="true"/>
        <w:keepLines/>
        <w:suppressAutoHyphens w:val="true"/>
        <w:spacing w:before="0" w:after="0"/>
        <w:jc w:val="center"/>
        <w:rPr>
          <w:sz w:val="26"/>
          <w:szCs w:val="26"/>
        </w:rPr>
      </w:pPr>
      <w:r>
        <w:rPr>
          <w:rFonts w:eastAsia="Calibri"/>
          <w:b w:val="false"/>
          <w:bCs w:val="false"/>
          <w:i w:val="false"/>
          <w:iCs w:val="false"/>
          <w:sz w:val="26"/>
          <w:szCs w:val="26"/>
        </w:rPr>
        <w:t>по лоту: «ОКПД2  71.12.11 Осуществление научно-технического сопровождения проектирования в части выполнения альтернативных расчетов при обосновании проектных решений в составе Раздела 4 (конструктивные решения) проектной документации по объекту: «УТВС. Строительство водозаборного сооружения с насосной станцией 1-го подъема на реке Норильская. Этап строительства 2. Основные сооружения»»</w:t>
      </w:r>
    </w:p>
    <w:p>
      <w:pPr>
        <w:pStyle w:val="Normal"/>
        <w:suppressAutoHyphens w:val="true"/>
        <w:spacing w:before="0" w:after="0"/>
        <w:jc w:val="center"/>
        <w:rPr>
          <w:rFonts w:ascii="Times New Roman" w:hAnsi="Times New Roman" w:eastAsia="Calibri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Calibri" w:cs="Times New Roman"/>
          <w:color w:val="auto"/>
          <w:kern w:val="0"/>
          <w:sz w:val="24"/>
          <w:szCs w:val="24"/>
          <w:lang w:val="ru-RU" w:eastAsia="ru-RU" w:bidi="ar-SA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0"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АО «Ленгидропроект» (далее – Заказчик) сообщает о проведении анализа технико-коммерческих предложений потенциальных поставщиков по лоту: </w:t>
      </w:r>
      <w:r>
        <w:rPr>
          <w:rFonts w:eastAsia="Calibri"/>
          <w:b w:val="false"/>
          <w:bCs w:val="false"/>
          <w:i w:val="false"/>
          <w:iCs w:val="false"/>
          <w:sz w:val="26"/>
          <w:szCs w:val="26"/>
        </w:rPr>
        <w:t>«ОКПД2  71.12.11 Осуществление научно-технического сопровождения проектирования в части выполнения альтернативных расчетов при обосновании проектных решений в составе Раздела 4 (конструктивные решения) проектной документации по объекту: «УТВС. Строительство водозаборного сооружения с насосной станцией 1-го подъема на реке Норильская. Этап строительства 2. Основные сооружения»»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0"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выполняемых работ) приведены в Технических требованиях настоящего мониторинга (запроса).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851" w:leader="none"/>
        </w:tabs>
        <w:spacing w:lineRule="auto" w:line="276" w:before="60" w:after="60"/>
        <w:ind w:left="0" w:right="0" w:firstLine="567"/>
        <w:contextualSpacing/>
        <w:jc w:val="both"/>
        <w:rPr/>
      </w:pPr>
      <w:r>
        <w:rPr/>
        <w:t xml:space="preserve">Настоящий запрос </w:t>
      </w:r>
      <w:r>
        <w:rPr>
          <w:b/>
        </w:rPr>
        <w:t>не является публичной офертой и не влечет за собой возникновения каких-либо обязательств для Заказчика</w:t>
      </w:r>
      <w:r>
        <w:rPr/>
        <w:t>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851" w:leader="none"/>
        </w:tabs>
        <w:spacing w:lineRule="auto" w:line="276" w:before="60" w:after="60"/>
        <w:ind w:left="0" w:right="0" w:firstLine="567"/>
        <w:contextualSpacing/>
        <w:jc w:val="both"/>
        <w:rPr/>
      </w:pPr>
      <w:r>
        <w:rPr/>
        <w:t>Ответ с технико-коммерческим предложением должен быть оформлен на официальном бланке по форме приложения №1 к Техническим требованиям и</w:t>
      </w:r>
      <w:r>
        <w:rPr>
          <w:lang w:val="en-US"/>
        </w:rPr>
        <w:t> </w:t>
      </w:r>
      <w:r>
        <w:rPr/>
        <w:t>заверен подписью уполномоченного лица, а также печатью организации (при</w:t>
      </w:r>
      <w:r>
        <w:rPr>
          <w:lang w:val="en-US"/>
        </w:rPr>
        <w:t> </w:t>
      </w:r>
      <w:r>
        <w:rPr/>
        <w:t>наличии), и в обязательном порядке содержать следующую информацию:</w:t>
      </w:r>
    </w:p>
    <w:p>
      <w:pPr>
        <w:pStyle w:val="ListParagraph"/>
        <w:numPr>
          <w:ilvl w:val="0"/>
          <w:numId w:val="7"/>
        </w:numPr>
        <w:spacing w:lineRule="auto" w:line="276" w:before="60" w:after="60"/>
        <w:ind w:left="1276" w:right="0" w:hanging="360"/>
        <w:contextualSpacing/>
        <w:jc w:val="both"/>
        <w:rPr/>
      </w:pPr>
      <w:r>
        <w:rPr/>
        <w:t>дату направления предложения;</w:t>
      </w:r>
    </w:p>
    <w:p>
      <w:pPr>
        <w:pStyle w:val="ListParagraph"/>
        <w:numPr>
          <w:ilvl w:val="0"/>
          <w:numId w:val="7"/>
        </w:numPr>
        <w:spacing w:lineRule="auto" w:line="276" w:before="60" w:after="60"/>
        <w:ind w:left="1276" w:right="0" w:hanging="360"/>
        <w:contextualSpacing/>
        <w:jc w:val="both"/>
        <w:rPr/>
      </w:pPr>
      <w:r>
        <w:rPr/>
        <w:t>полное наименование организации, с указанием организационно-правовой формы (для юридических лиц);</w:t>
      </w:r>
    </w:p>
    <w:p>
      <w:pPr>
        <w:pStyle w:val="ListParagraph"/>
        <w:numPr>
          <w:ilvl w:val="0"/>
          <w:numId w:val="7"/>
        </w:numPr>
        <w:spacing w:lineRule="auto" w:line="276" w:before="60" w:after="60"/>
        <w:ind w:left="1276" w:right="0" w:hanging="360"/>
        <w:contextualSpacing/>
        <w:jc w:val="both"/>
        <w:rPr/>
      </w:pPr>
      <w:r>
        <w:rPr/>
        <w:t xml:space="preserve">юридический адрес, почтовый адрес, ИНН </w:t>
      </w:r>
      <w:r>
        <w:rPr>
          <w:i/>
          <w:shd w:fill="FFFF99" w:val="clear"/>
        </w:rPr>
        <w:t>[для юридических лиц]</w:t>
      </w:r>
      <w:r>
        <w:rPr>
          <w:i/>
        </w:rPr>
        <w:t xml:space="preserve"> / </w:t>
      </w:r>
      <w:r>
        <w:rPr/>
        <w:t xml:space="preserve">паспортные данные, адрес регистрации, ИНН (при наличии) </w:t>
      </w:r>
      <w:r>
        <w:rPr>
          <w:i/>
          <w:shd w:fill="FFFF99" w:val="clear"/>
        </w:rPr>
        <w:t>[для физических лиц]</w:t>
      </w:r>
      <w:r>
        <w:rPr>
          <w:i/>
        </w:rPr>
        <w:t>;</w:t>
      </w:r>
    </w:p>
    <w:p>
      <w:pPr>
        <w:pStyle w:val="ListParagraph"/>
        <w:numPr>
          <w:ilvl w:val="0"/>
          <w:numId w:val="7"/>
        </w:numPr>
        <w:spacing w:lineRule="auto" w:line="276" w:before="60" w:after="60"/>
        <w:ind w:left="1276" w:right="0" w:hanging="360"/>
        <w:contextualSpacing/>
        <w:jc w:val="both"/>
        <w:rPr/>
      </w:pPr>
      <w:r>
        <w:rPr/>
        <w:t xml:space="preserve">контактные данные: номер телефона, </w:t>
      </w:r>
      <w:r>
        <w:rPr>
          <w:lang w:val="en-US"/>
        </w:rPr>
        <w:t>e</w:t>
      </w:r>
      <w:r>
        <w:rPr/>
        <w:t>-</w:t>
      </w:r>
      <w:r>
        <w:rPr>
          <w:lang w:val="en-US"/>
        </w:rPr>
        <w:t>mail</w:t>
      </w:r>
      <w:r>
        <w:rPr/>
        <w:t>, ФИО контактного лица;</w:t>
      </w:r>
    </w:p>
    <w:p>
      <w:pPr>
        <w:pStyle w:val="ListParagraph"/>
        <w:numPr>
          <w:ilvl w:val="0"/>
          <w:numId w:val="7"/>
        </w:numPr>
        <w:spacing w:lineRule="auto" w:line="276" w:before="60" w:after="60"/>
        <w:ind w:left="1276" w:right="0" w:hanging="360"/>
        <w:contextualSpacing/>
        <w:jc w:val="both"/>
        <w:rPr/>
      </w:pPr>
      <w:r>
        <w:rPr/>
        <w:t>цену предложения в рублях (без учета НДС).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851" w:leader="none"/>
        </w:tabs>
        <w:spacing w:lineRule="auto" w:line="276" w:before="60" w:after="60"/>
        <w:ind w:left="0" w:right="0" w:firstLine="567"/>
        <w:contextualSpacing/>
        <w:jc w:val="both"/>
        <w:rPr/>
      </w:pPr>
      <w:r>
        <w:rPr/>
        <w:t>Срок подачи технико-коммерческих предложени</w:t>
      </w:r>
      <w:r>
        <w:rPr>
          <w:shd w:fill="auto" w:val="clear"/>
        </w:rPr>
        <w:t xml:space="preserve">й: </w:t>
      </w:r>
      <w:r>
        <w:rPr>
          <w:u w:val="single"/>
          <w:shd w:fill="auto" w:val="clear"/>
        </w:rPr>
        <w:t>до 09:00 24.06.2026 г.</w:t>
      </w:r>
      <w:r>
        <w:rPr>
          <w:shd w:fill="auto" w:val="clear"/>
        </w:rPr>
        <w:t xml:space="preserve"> 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851" w:leader="none"/>
        </w:tabs>
        <w:spacing w:lineRule="auto" w:line="276" w:before="60" w:after="60"/>
        <w:ind w:left="0" w:right="0" w:firstLine="567"/>
        <w:contextualSpacing/>
        <w:jc w:val="both"/>
        <w:rPr/>
      </w:pPr>
      <w:r>
        <w:rPr/>
        <w:t xml:space="preserve">Предложения должны быть направлены путем загрузки на ЭТП и в виде сканированной электронной копии в адрес ответственного лица: </w:t>
      </w:r>
      <w:hyperlink r:id="rId2">
        <w:r>
          <w:rPr>
            <w:rStyle w:val="Hyperlink"/>
          </w:rPr>
          <w:t>KozlovaES@lhp.ru</w:t>
        </w:r>
      </w:hyperlink>
      <w:r>
        <w:rPr/>
        <w:t>, рабочий телефон: +7 (812) 346-92-12.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851" w:leader="none"/>
        </w:tabs>
        <w:spacing w:lineRule="auto" w:line="276" w:before="60" w:after="60"/>
        <w:ind w:left="0" w:right="0" w:firstLine="567"/>
        <w:contextualSpacing/>
        <w:jc w:val="both"/>
        <w:rPr/>
      </w:pPr>
      <w:r>
        <w:rPr/>
        <w:t>Технико-коммерческие предложения участниками мониторинга должны быть поданы в соответствии с установленными Заказчиком требованиями проведения мониторинга.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для проведения мониторинга рынка</w:t>
      </w:r>
    </w:p>
    <w:p>
      <w:pPr>
        <w:pStyle w:val="Normal"/>
        <w:spacing w:before="0" w:after="0"/>
        <w:ind w:left="0" w:right="0" w:hanging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spacing w:before="0" w:after="0"/>
        <w:ind w:left="0" w:right="0" w:hanging="0"/>
        <w:jc w:val="center"/>
        <w:rPr>
          <w:b w:val="false"/>
          <w:bCs w:val="false"/>
        </w:rPr>
      </w:pPr>
      <w:r>
        <w:rPr>
          <w:b w:val="false"/>
          <w:bCs w:val="false"/>
          <w:color w:val="0D0D0D" w:themeColor="text1" w:themeTint="f2"/>
          <w:sz w:val="26"/>
          <w:szCs w:val="26"/>
        </w:rPr>
        <w:t xml:space="preserve">ОКПД2  71.12.11 Осуществление научно-технического сопровождения проектирования в части выполнения альтернативных расчетов при обосновании проектных решений в составе </w:t>
      </w:r>
      <w:r>
        <w:rPr>
          <w:b w:val="false"/>
          <w:bCs w:val="false"/>
          <w:color w:val="0D0D0D" w:themeColor="text1" w:themeTint="f2"/>
          <w:sz w:val="26"/>
          <w:szCs w:val="26"/>
          <w:shd w:fill="auto" w:val="clear"/>
        </w:rPr>
        <w:t xml:space="preserve">Раздела 4 (конструктивные решения) </w:t>
      </w:r>
      <w:r>
        <w:rPr>
          <w:b w:val="false"/>
          <w:bCs w:val="false"/>
          <w:color w:val="0D0D0D" w:themeColor="text1" w:themeTint="f2"/>
          <w:sz w:val="26"/>
          <w:szCs w:val="26"/>
        </w:rPr>
        <w:t>проектной документации по объекту: «УТВС. Строительство водозаборного сооружения с насосной станцией 1-го подъема на реке Норильская. Этап строительства 2. Основные сооружения»</w:t>
      </w:r>
    </w:p>
    <w:p>
      <w:pPr>
        <w:pStyle w:val="Normal"/>
        <w:spacing w:before="0" w:after="0"/>
        <w:ind w:left="0" w:right="0" w:hanging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before="0" w:after="0"/>
        <w:ind w:left="0" w:right="0"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rStyle w:val="Style14"/>
            </w:rPr>
            <w:instrText xml:space="preserve"> TOC \o "1-4" \h</w:instrText>
          </w:r>
          <w:r>
            <w:rPr>
              <w:rStyle w:val="Style14"/>
            </w:rPr>
            <w:fldChar w:fldCharType="separate"/>
          </w:r>
          <w:hyperlink w:anchor="__RefHeading___Toc3929_3135389030">
            <w:r>
              <w:rPr>
                <w:rStyle w:val="Style14"/>
              </w:rPr>
              <w:t>1. Общие сведения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3931_3135389030">
            <w:r>
              <w:rPr>
                <w:rStyle w:val="Style14"/>
              </w:rPr>
              <w:t>1.1. Обозначения и сокращения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3933_3135389030">
            <w:r>
              <w:rPr>
                <w:rStyle w:val="Style14"/>
              </w:rPr>
              <w:t>1.2. Наименование закупаемой продукции</w:t>
              <w:tab/>
              <w:t>5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3935_3135389030">
            <w:r>
              <w:rPr>
                <w:rStyle w:val="Style14"/>
              </w:rPr>
              <w:t>1.3. Цель выполнения работ:</w:t>
              <w:tab/>
              <w:t>5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3937_3135389030">
            <w:r>
              <w:rPr>
                <w:rStyle w:val="Style14"/>
              </w:rPr>
              <w:t>1.4. Стадия проектирования</w:t>
              <w:tab/>
              <w:t>5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3939_3135389030">
            <w:r>
              <w:rPr>
                <w:rStyle w:val="Style14"/>
              </w:rPr>
              <w:t>1.5. Существующее положение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0828_3135389030">
            <w:r>
              <w:rPr>
                <w:rStyle w:val="Style14"/>
              </w:rPr>
              <w:t>Таблица 1. Перечень объектов заказчика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941_3135389030">
            <w:r>
              <w:rPr>
                <w:rStyle w:val="Style14"/>
              </w:rPr>
              <w:t>Таблица 2. Технические и качественные характеристики объектов проектирования</w:t>
              <w:tab/>
              <w:t>6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2006_3645919304">
            <w:r>
              <w:rPr>
                <w:rStyle w:val="Style14"/>
              </w:rPr>
              <w:t>1.6. Общие требования при проведении мониторинга цен</w:t>
              <w:tab/>
              <w:t>7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943_3135389030">
            <w:r>
              <w:rPr>
                <w:rStyle w:val="Style14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  <w:t>7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3945_3135389030">
            <w:r>
              <w:rPr>
                <w:rStyle w:val="Style14"/>
              </w:rPr>
              <w:t>2.1. Требования к объемам и срокам выполнения работ</w:t>
              <w:tab/>
              <w:t>7</w:t>
            </w:r>
          </w:hyperlink>
        </w:p>
        <w:p>
          <w:pPr>
            <w:pStyle w:val="TOC3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947_3135389030">
            <w:r>
              <w:rPr>
                <w:rStyle w:val="Style14"/>
              </w:rPr>
              <w:t>2.1.1. Требования к видам и объемам работ</w:t>
              <w:tab/>
              <w:t>7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6992_958015815">
            <w:r>
              <w:rPr>
                <w:rStyle w:val="Style14"/>
              </w:rPr>
              <w:t>Таблица 3. Перечень и объем выполняемых работ</w:t>
              <w:tab/>
              <w:t>7</w:t>
            </w:r>
          </w:hyperlink>
        </w:p>
        <w:p>
          <w:pPr>
            <w:pStyle w:val="TOC3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949_3135389030">
            <w:r>
              <w:rPr>
                <w:rStyle w:val="Style14"/>
              </w:rPr>
              <w:t>2.1.2. Требования к срокам выполнения работ</w:t>
              <w:tab/>
              <w:t>8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0830_3135389030">
            <w:r>
              <w:rPr>
                <w:rStyle w:val="Style14"/>
              </w:rPr>
              <w:t>Таблица 4. Требования по срокам выполнения работ</w:t>
              <w:tab/>
              <w:t>8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3951_3135389030">
            <w:r>
              <w:rPr>
                <w:rStyle w:val="Style14"/>
              </w:rPr>
              <w:t>2.2. Требования к качеству работ</w:t>
              <w:tab/>
              <w:t>9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88534_3135389030">
            <w:r>
              <w:rPr>
                <w:rStyle w:val="Style14"/>
              </w:rPr>
              <w:t>Таблица 5. Требования к качеству работ</w:t>
              <w:tab/>
              <w:t>9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2008_3645919304">
            <w:r>
              <w:rPr>
                <w:rStyle w:val="Style14"/>
              </w:rPr>
              <w:t>3. Состав заявки для мониторинга цен</w:t>
              <w:tab/>
              <w:t>15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righ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lang w:val="ru-RU"/>
        </w:rPr>
      </w:pPr>
      <w:bookmarkStart w:id="0" w:name="__RefHeading___Toc3929_3135389030"/>
      <w:bookmarkStart w:id="1" w:name="_Toc51339692"/>
      <w:bookmarkStart w:id="2" w:name="_Toc171606750"/>
      <w:bookmarkEnd w:id="0"/>
      <w:r>
        <w:rPr>
          <w:lang w:val="ru-RU"/>
        </w:rPr>
        <w:t>Общие сведения</w:t>
      </w:r>
      <w:bookmarkEnd w:id="1"/>
      <w:bookmarkEnd w:id="2"/>
    </w:p>
    <w:p>
      <w:pPr>
        <w:pStyle w:val="Heading4"/>
        <w:numPr>
          <w:ilvl w:val="1"/>
          <w:numId w:val="3"/>
        </w:numPr>
        <w:rPr>
          <w:highlight w:val="none"/>
          <w:shd w:fill="auto" w:val="clear"/>
        </w:rPr>
      </w:pPr>
      <w:bookmarkStart w:id="3" w:name="__RefHeading___Toc3931_3135389030"/>
      <w:bookmarkStart w:id="4" w:name="_Toc171606751"/>
      <w:bookmarkStart w:id="5" w:name="_Toc133943250"/>
      <w:bookmarkEnd w:id="3"/>
      <w:r>
        <w:rPr>
          <w:shd w:fill="auto" w:val="clear"/>
        </w:rPr>
        <w:t>Обозначения и сокращения</w:t>
      </w:r>
      <w:bookmarkEnd w:id="4"/>
      <w:bookmarkEnd w:id="5"/>
    </w:p>
    <w:p>
      <w:pPr>
        <w:pStyle w:val="Normal"/>
        <w:rPr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6901"/>
      </w:tblGrid>
      <w:tr>
        <w:trPr>
          <w:cantSplit w:val="true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ГОСТ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2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auto" w:val="clear"/>
              </w:rPr>
              <w:t>ГТС</w:t>
            </w:r>
          </w:p>
        </w:tc>
        <w:tc>
          <w:tcPr>
            <w:tcW w:w="6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</w:rPr>
              <w:t>Гидротехническое сооружение</w:t>
            </w:r>
          </w:p>
        </w:tc>
      </w:tr>
      <w:tr>
        <w:trPr>
          <w:cantSplit w:val="true"/>
        </w:trPr>
        <w:tc>
          <w:tcPr>
            <w:tcW w:w="2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 w:before="0" w:after="0"/>
              <w:ind w:left="0" w:right="0" w:hanging="0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6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АО «Ленгидропроект»</w:t>
            </w:r>
          </w:p>
        </w:tc>
      </w:tr>
      <w:tr>
        <w:trPr>
          <w:cantSplit w:val="true"/>
        </w:trPr>
        <w:tc>
          <w:tcPr>
            <w:tcW w:w="2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 w:before="0" w:after="0"/>
              <w:ind w:left="0" w:right="0" w:hanging="0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Застройщик</w:t>
            </w:r>
          </w:p>
        </w:tc>
        <w:tc>
          <w:tcPr>
            <w:tcW w:w="6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АО «Норильско-Таймырская энергетическая компания»</w:t>
            </w:r>
          </w:p>
        </w:tc>
      </w:tr>
      <w:tr>
        <w:trPr>
          <w:cantSplit w:val="true"/>
        </w:trPr>
        <w:tc>
          <w:tcPr>
            <w:tcW w:w="2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auto" w:val="clear"/>
              </w:rPr>
              <w:t>ЗиС</w:t>
            </w:r>
          </w:p>
        </w:tc>
        <w:tc>
          <w:tcPr>
            <w:tcW w:w="6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</w:rPr>
              <w:t>Здания и сооружения</w:t>
            </w:r>
          </w:p>
        </w:tc>
      </w:tr>
      <w:tr>
        <w:trPr>
          <w:cantSplit w:val="true"/>
        </w:trPr>
        <w:tc>
          <w:tcPr>
            <w:tcW w:w="2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 w:before="0" w:after="0"/>
              <w:ind w:left="0" w:right="0" w:hanging="0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ЗФ ПАО ГМК «Норильский никель» </w:t>
            </w:r>
          </w:p>
        </w:tc>
        <w:tc>
          <w:tcPr>
            <w:tcW w:w="6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Заполярный филиал публичного акционерного общества «Горно-металлургическая компания «Норильский никель»</w:t>
            </w:r>
          </w:p>
        </w:tc>
      </w:tr>
      <w:tr>
        <w:trPr>
          <w:cantSplit w:val="true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</w:rPr>
              <w:t>НОПРИЗ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</w:rPr>
              <w:t>Национальное объединение изыскателей и проектировщиков</w:t>
            </w:r>
          </w:p>
        </w:tc>
      </w:tr>
      <w:tr>
        <w:trPr>
          <w:cantSplit w:val="true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НТД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Нормативно-техническая документация</w:t>
            </w:r>
          </w:p>
        </w:tc>
      </w:tr>
      <w:tr>
        <w:trPr>
          <w:cantSplit w:val="true"/>
        </w:trPr>
        <w:tc>
          <w:tcPr>
            <w:tcW w:w="2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</w:rPr>
              <w:t>НТС</w:t>
            </w:r>
          </w:p>
        </w:tc>
        <w:tc>
          <w:tcPr>
            <w:tcW w:w="6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</w:rPr>
              <w:t>Научно-техническое сопровождение</w:t>
            </w:r>
          </w:p>
        </w:tc>
      </w:tr>
      <w:tr>
        <w:trPr>
          <w:cantSplit w:val="true"/>
        </w:trPr>
        <w:tc>
          <w:tcPr>
            <w:tcW w:w="2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</w:rPr>
              <w:t xml:space="preserve">ПД </w:t>
            </w:r>
          </w:p>
        </w:tc>
        <w:tc>
          <w:tcPr>
            <w:tcW w:w="6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</w:rPr>
              <w:t xml:space="preserve">Проектная документация </w:t>
            </w:r>
          </w:p>
        </w:tc>
      </w:tr>
      <w:tr>
        <w:trPr>
          <w:cantSplit w:val="true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ПО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Программное обеспечение </w:t>
            </w:r>
          </w:p>
        </w:tc>
      </w:tr>
      <w:tr>
        <w:trPr>
          <w:cantSplit w:val="true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</w:rPr>
              <w:t>СМР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</w:rPr>
              <w:t>Строительно-монтажные работы</w:t>
            </w:r>
          </w:p>
        </w:tc>
      </w:tr>
      <w:tr>
        <w:trPr>
          <w:cantSplit w:val="true"/>
        </w:trPr>
        <w:tc>
          <w:tcPr>
            <w:tcW w:w="2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</w:numPr>
              <w:spacing w:before="57" w:after="0"/>
              <w:ind w:left="0" w:right="0" w:hanging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СНиП</w:t>
            </w:r>
          </w:p>
        </w:tc>
        <w:tc>
          <w:tcPr>
            <w:tcW w:w="6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Строительные нормы и правила</w:t>
            </w:r>
          </w:p>
        </w:tc>
      </w:tr>
      <w:tr>
        <w:trPr>
          <w:cantSplit w:val="true"/>
        </w:trPr>
        <w:tc>
          <w:tcPr>
            <w:tcW w:w="2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СП</w:t>
            </w:r>
          </w:p>
        </w:tc>
        <w:tc>
          <w:tcPr>
            <w:tcW w:w="6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Свод правил</w:t>
            </w:r>
          </w:p>
        </w:tc>
      </w:tr>
      <w:tr>
        <w:trPr>
          <w:cantSplit w:val="true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</w:rPr>
              <w:t>ТТ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</w:rPr>
              <w:t xml:space="preserve">Технические требования </w:t>
            </w:r>
          </w:p>
        </w:tc>
      </w:tr>
      <w:tr>
        <w:trPr>
          <w:cantSplit w:val="true"/>
        </w:trPr>
        <w:tc>
          <w:tcPr>
            <w:tcW w:w="2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ТЭЦ</w:t>
            </w:r>
          </w:p>
        </w:tc>
        <w:tc>
          <w:tcPr>
            <w:tcW w:w="6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Теплоэлектроцентраль</w:t>
            </w:r>
          </w:p>
        </w:tc>
      </w:tr>
      <w:tr>
        <w:trPr>
          <w:cantSplit w:val="true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auto" w:val="clear"/>
              </w:rPr>
              <w:t>УТВС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</w:rPr>
              <w:t>Управление тепловодоснабжения</w:t>
            </w:r>
          </w:p>
        </w:tc>
      </w:tr>
      <w:tr>
        <w:trPr>
          <w:cantSplit w:val="true"/>
        </w:trPr>
        <w:tc>
          <w:tcPr>
            <w:tcW w:w="2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ФАУ «Главгосэкпертиза»</w:t>
            </w:r>
          </w:p>
        </w:tc>
        <w:tc>
          <w:tcPr>
            <w:tcW w:w="6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Федеральное автономное учреждение «Главгосэкспертиза России»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6" w:name="__RefHeading___Toc3933_3135389030"/>
      <w:bookmarkStart w:id="7" w:name="_Toc171606752"/>
      <w:bookmarkEnd w:id="6"/>
      <w:r>
        <w:rPr/>
        <w:t>Наименование закупаемой продукции</w:t>
      </w:r>
      <w:bookmarkEnd w:id="7"/>
    </w:p>
    <w:p>
      <w:pPr>
        <w:pStyle w:val="Normal"/>
        <w:jc w:val="both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  <w:sz w:val="24"/>
          <w:szCs w:val="24"/>
          <w:lang w:val="x-none" w:eastAsia="x-none"/>
        </w:rPr>
        <w:t>ОКПД2  71.12.11 Осуществление научно-технического сопровождения проектирования в части выполнения альтернативных расчетов при обосновании проектных решений в составе Раздела 4 (конструктивные решения) проектной документации по объекту: «УТВС. Строительство водозаборного сооружения с насосной станцией 1-го подъема на реке Норильская. Этап строительства 2. Основные сооружения»</w:t>
      </w:r>
    </w:p>
    <w:p>
      <w:pPr>
        <w:pStyle w:val="Heading4"/>
        <w:numPr>
          <w:ilvl w:val="1"/>
          <w:numId w:val="3"/>
        </w:numPr>
        <w:rPr/>
      </w:pPr>
      <w:bookmarkStart w:id="8" w:name="__RefHeading___Toc3935_3135389030"/>
      <w:bookmarkStart w:id="9" w:name="_Toc171606753"/>
      <w:bookmarkStart w:id="10" w:name="_Toc46743507"/>
      <w:bookmarkEnd w:id="8"/>
      <w:r>
        <w:rPr/>
        <w:t xml:space="preserve">Цель </w:t>
      </w:r>
      <w:bookmarkEnd w:id="10"/>
      <w:r>
        <w:rPr>
          <w:lang w:val="ru-RU"/>
        </w:rPr>
        <w:t>выполнения работ:</w:t>
      </w:r>
      <w:bookmarkEnd w:id="9"/>
      <w:r>
        <w:rPr>
          <w:lang w:val="ru-RU"/>
        </w:rPr>
        <w:t xml:space="preserve"> </w:t>
      </w:r>
    </w:p>
    <w:p>
      <w:pPr>
        <w:pStyle w:val="Normal"/>
        <w:spacing w:lineRule="auto" w:line="276" w:before="0" w:after="0"/>
        <w:ind w:left="0" w:right="0" w:hanging="0"/>
        <w:contextualSpacing/>
        <w:jc w:val="both"/>
        <w:rPr>
          <w:bCs/>
          <w:color w:val="0D0D0D"/>
          <w:sz w:val="24"/>
          <w:szCs w:val="24"/>
        </w:rPr>
      </w:pPr>
      <w:bookmarkStart w:id="11" w:name="_Toc46743508"/>
      <w:bookmarkEnd w:id="11"/>
      <w:r>
        <w:rPr>
          <w:bCs/>
          <w:color w:val="0D0D0D"/>
          <w:sz w:val="24"/>
          <w:szCs w:val="24"/>
        </w:rPr>
        <w:t>1.3.1 Целью работы является расчет и обоснование основных конструктивных решений для объектов водозаборного сооружения с насосной станцией 1-го подъема на реке Норильская:</w:t>
      </w:r>
    </w:p>
    <w:p>
      <w:pPr>
        <w:pStyle w:val="ListParagraph"/>
        <w:numPr>
          <w:ilvl w:val="0"/>
          <w:numId w:val="14"/>
        </w:numPr>
        <w:spacing w:lineRule="auto" w:line="276"/>
        <w:ind w:left="1287" w:right="0" w:hanging="360"/>
        <w:jc w:val="both"/>
        <w:rPr>
          <w:bCs/>
          <w:color w:val="0D0D0D"/>
        </w:rPr>
      </w:pPr>
      <w:r>
        <w:rPr>
          <w:bCs/>
          <w:color w:val="0D0D0D"/>
        </w:rPr>
        <w:t>Насосная станция первого подъёма</w:t>
      </w:r>
    </w:p>
    <w:p>
      <w:pPr>
        <w:pStyle w:val="ListParagraph"/>
        <w:numPr>
          <w:ilvl w:val="0"/>
          <w:numId w:val="14"/>
        </w:numPr>
        <w:spacing w:lineRule="auto" w:line="276"/>
        <w:ind w:left="1287" w:right="0" w:hanging="360"/>
        <w:jc w:val="both"/>
        <w:rPr>
          <w:bCs/>
          <w:color w:val="0D0D0D"/>
        </w:rPr>
      </w:pPr>
      <w:r>
        <w:rPr>
          <w:bCs/>
          <w:color w:val="0D0D0D"/>
        </w:rPr>
        <w:t>Водоподводящий ковш</w:t>
      </w:r>
    </w:p>
    <w:p>
      <w:pPr>
        <w:pStyle w:val="ListParagraph"/>
        <w:numPr>
          <w:ilvl w:val="0"/>
          <w:numId w:val="14"/>
        </w:numPr>
        <w:spacing w:lineRule="auto" w:line="276"/>
        <w:ind w:left="1287" w:right="0" w:hanging="360"/>
        <w:jc w:val="both"/>
        <w:rPr>
          <w:bCs/>
          <w:color w:val="0D0D0D"/>
        </w:rPr>
      </w:pPr>
      <w:r>
        <w:rPr>
          <w:bCs/>
          <w:color w:val="0D0D0D"/>
        </w:rPr>
        <w:t>Аванкамера</w:t>
      </w:r>
    </w:p>
    <w:p>
      <w:pPr>
        <w:pStyle w:val="ListParagraph"/>
        <w:numPr>
          <w:ilvl w:val="0"/>
          <w:numId w:val="14"/>
        </w:numPr>
        <w:spacing w:lineRule="auto" w:line="276"/>
        <w:ind w:left="1287" w:right="0" w:hanging="360"/>
        <w:jc w:val="both"/>
        <w:rPr>
          <w:bCs/>
          <w:color w:val="0D0D0D"/>
        </w:rPr>
      </w:pPr>
      <w:r>
        <w:rPr>
          <w:bCs/>
          <w:color w:val="0D0D0D"/>
        </w:rPr>
        <w:t>Подпорная стенка</w:t>
      </w:r>
    </w:p>
    <w:p>
      <w:pPr>
        <w:pStyle w:val="Normal"/>
        <w:spacing w:lineRule="auto" w:line="276" w:before="0" w:after="0"/>
        <w:ind w:left="0" w:right="0" w:hanging="0"/>
        <w:contextualSpacing/>
        <w:jc w:val="both"/>
        <w:rPr>
          <w:bCs/>
          <w:color w:val="0D0D0D"/>
          <w:sz w:val="24"/>
          <w:szCs w:val="24"/>
        </w:rPr>
      </w:pPr>
      <w:r>
        <w:rPr>
          <w:bCs/>
          <w:color w:val="0D0D0D"/>
          <w:sz w:val="24"/>
          <w:szCs w:val="24"/>
        </w:rPr>
        <w:t>1.3.2. Получение положительного заключения проектной документации в ФАУ «Главгосэкспертиза».</w:t>
      </w:r>
    </w:p>
    <w:p>
      <w:pPr>
        <w:pStyle w:val="Heading4"/>
        <w:numPr>
          <w:ilvl w:val="1"/>
          <w:numId w:val="3"/>
        </w:numPr>
        <w:rPr/>
      </w:pPr>
      <w:bookmarkStart w:id="12" w:name="__RefHeading___Toc3937_3135389030"/>
      <w:bookmarkStart w:id="13" w:name="_Toc133943253"/>
      <w:bookmarkStart w:id="14" w:name="_Toc171606754"/>
      <w:bookmarkEnd w:id="12"/>
      <w:r>
        <w:rPr/>
        <w:t>Стадия проектирования</w:t>
      </w:r>
      <w:bookmarkEnd w:id="13"/>
      <w:bookmarkEnd w:id="14"/>
      <w:r>
        <w:rPr/>
        <w:t xml:space="preserve"> </w:t>
      </w:r>
    </w:p>
    <w:p>
      <w:pPr>
        <w:pStyle w:val="Normal"/>
        <w:spacing w:lineRule="auto" w:line="276" w:before="0" w:after="0"/>
        <w:ind w:left="0" w:right="0" w:hanging="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Проектная документация.</w:t>
      </w:r>
    </w:p>
    <w:p>
      <w:pPr>
        <w:pStyle w:val="Heading4"/>
        <w:numPr>
          <w:ilvl w:val="1"/>
          <w:numId w:val="3"/>
        </w:numPr>
        <w:rPr/>
      </w:pPr>
      <w:bookmarkStart w:id="15" w:name="__RefHeading___Toc3939_3135389030"/>
      <w:bookmarkStart w:id="16" w:name="_Toc171606755"/>
      <w:bookmarkEnd w:id="15"/>
      <w:r>
        <w:rPr/>
        <w:t>Существующее положение</w:t>
      </w:r>
      <w:bookmarkEnd w:id="16"/>
    </w:p>
    <w:p>
      <w:pPr>
        <w:pStyle w:val="Normal"/>
        <w:spacing w:lineRule="auto" w:line="288" w:before="0" w:after="0"/>
        <w:ind w:left="0" w:right="0" w:hanging="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Водозабор №2 на р. Норильской служит для обеспечения технической водой технологических процессов ЗФ ПАО ГМК «Норильский никель» на Норильской, Талнахской и Кайерканской площадке – с Водозабора №2 вода поступает на Медный завод, далее подкачивающими насосными станциями №16, №17 и № 18 подается на Надеждинский металлургический завод и ТЭЦ-3. В настоящее время водозабор №2 имеет разрешение для использования в целях питьевого и хозяйственно-бытового водоснабжения. Проектная производительность водозабора – 15 000 м3/ч. Водозабор №2 относится к водоприемникам комбинированного типа: сочетание ковшевого и берегового типа, совмещенного с насосной станцией I подъема. Водозабор относится к водозаборам ковшевого типа с верховым питанием. Забор воды производится из водозаборного ковша, длиной 149 м, шириной 18 м.</w:t>
      </w:r>
    </w:p>
    <w:p>
      <w:pPr>
        <w:pStyle w:val="Normal"/>
        <w:spacing w:lineRule="auto" w:line="288"/>
        <w:ind w:left="0" w:right="0" w:firstLine="431"/>
        <w:jc w:val="both"/>
        <w:rPr>
          <w:sz w:val="24"/>
          <w:szCs w:val="24"/>
        </w:rPr>
      </w:pPr>
      <w:r>
        <w:rPr>
          <w:sz w:val="24"/>
          <w:szCs w:val="24"/>
        </w:rPr>
        <w:t>Насосная станция I подъема предназначена для забора речной воды из водоприемника и подачи воды потребителям. Насосная станция выполнена заглубленного типа, прямоугольная в плане. Отметка пола машинного зала насосной станции – 22,70 м, отметка оси насосов – 23,80 м. В насосной станции осуществляется предварительное хлорирование воды раствором гипохлорита натрия. В целях обеспечения рыбозащиты на водозаборе № 2 предусмотрена рыбозаградительная запань, которая устанавливается на период открытой воды в реке.</w:t>
      </w:r>
    </w:p>
    <w:p>
      <w:pPr>
        <w:pStyle w:val="Normal"/>
        <w:spacing w:lineRule="auto" w:line="288"/>
        <w:ind w:left="0" w:right="0" w:firstLine="43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spacing w:before="0" w:after="0"/>
        <w:ind w:left="0" w:right="0" w:hanging="0"/>
        <w:rPr/>
      </w:pPr>
      <w:bookmarkStart w:id="17" w:name="__RefHeading___Toc10828_3135389030"/>
      <w:bookmarkEnd w:id="17"/>
      <w:r>
        <w:rPr/>
        <w:t>Таблица 1. Перечень объектов заказчика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694"/>
        <w:gridCol w:w="2976"/>
        <w:gridCol w:w="3685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Расположение объекта </w:t>
              <w:br/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основного средства </w:t>
              <w:br/>
              <w:t>(в отношении которого выполняются работы)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  <w:t>Насосная станция первого подъёма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Федерация, Красноярский край, г. Норильск, правый берег р.Норильская. Водозаборное сооружение №2. Строительная площадка в зоне постоянного отвода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Водозаборное сооружение с насосной станцией 1-го подъема на реке Норильская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  <w:t>Водоподводящий ковш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 xml:space="preserve">Российская Федерация, Красноярский край, г. Норильск, правый берег р.Норильская.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Водозаборное сооружение №2. Строительная площадка в зоне постоянного отвода.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Водозаборное сооружение с насосной станцией 1-го подъема на реке Норильская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  <w:t>Аванкамера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 xml:space="preserve">Российская Федерация, Красноярский край, г. Норильск, правый берег р.Норильская.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Водозаборное сооружение №2. Строительная площадка в зоне постоянного отвода.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Водозаборное сооружение с насосной станцией 1-го подъема на реке Норильская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  <w:t>Подпорная стенка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 xml:space="preserve">Российская Федерация, Красноярский край, г. Норильск, правый берег р.Норильская, Левый берег р. Норильская., русло реки Норильская.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Водозаборное сооружение №2. Строительная площадка в зоне постоянного отвода.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Водозаборное сооружение с насосной станцией 1-го подъема на реке Норильская</w:t>
            </w:r>
          </w:p>
        </w:tc>
      </w:tr>
    </w:tbl>
    <w:p>
      <w:pPr>
        <w:pStyle w:val="Normal"/>
        <w:jc w:val="both"/>
        <w:rPr>
          <w:sz w:val="24"/>
          <w:lang w:eastAsia="x-none"/>
        </w:rPr>
      </w:pPr>
      <w:r>
        <w:rPr>
          <w:sz w:val="24"/>
          <w:lang w:eastAsia="x-none"/>
        </w:rPr>
      </w:r>
    </w:p>
    <w:p>
      <w:pPr>
        <w:pStyle w:val="Heading1"/>
        <w:numPr>
          <w:ilvl w:val="0"/>
          <w:numId w:val="0"/>
        </w:numPr>
        <w:spacing w:before="0" w:after="0"/>
        <w:ind w:left="0" w:right="0" w:hanging="0"/>
        <w:jc w:val="both"/>
        <w:rPr/>
      </w:pPr>
      <w:bookmarkStart w:id="18" w:name="__RefHeading___Toc3941_3135389030"/>
      <w:bookmarkEnd w:id="18"/>
      <w:r>
        <w:rPr/>
        <w:t xml:space="preserve">Таблица 2. </w:t>
      </w:r>
      <w:bookmarkStart w:id="19" w:name="_Toc171606756"/>
      <w:r>
        <w:rPr/>
        <w:t>Технические и качественные характеристики объектов проектирования</w:t>
      </w:r>
      <w:bookmarkEnd w:id="19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3427"/>
        <w:gridCol w:w="5812"/>
      </w:tblGrid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Показатель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ind w:left="360" w:right="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Насосная станция первого подъёма</w:t>
            </w:r>
          </w:p>
        </w:tc>
      </w:tr>
      <w:tr>
        <w:trPr>
          <w:trHeight w:val="168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описание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Прямоугольное здание с подземной частью, предназначенное для размещения оборудования </w:t>
            </w:r>
          </w:p>
        </w:tc>
      </w:tr>
      <w:tr>
        <w:trPr>
          <w:trHeight w:val="168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Класс ответственности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КС-3</w:t>
            </w:r>
          </w:p>
        </w:tc>
      </w:tr>
      <w:tr>
        <w:trPr>
          <w:trHeight w:val="168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Пожарно-техническая классификация объекта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огнестойкости – II</w:t>
            </w:r>
          </w:p>
        </w:tc>
      </w:tr>
      <w:tr>
        <w:trPr>
          <w:trHeight w:val="168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конструктивной пожарной опасности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С0</w:t>
            </w:r>
          </w:p>
        </w:tc>
      </w:tr>
      <w:tr>
        <w:trPr>
          <w:trHeight w:val="168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по функциональной пожарной опасности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Ф5.1</w:t>
            </w:r>
          </w:p>
        </w:tc>
      </w:tr>
      <w:tr>
        <w:trPr>
          <w:trHeight w:val="168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этажей, эт.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>
        <w:trPr>
          <w:trHeight w:val="168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Размеры в крайних осях, м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42х42</w:t>
            </w:r>
          </w:p>
        </w:tc>
      </w:tr>
      <w:tr>
        <w:trPr>
          <w:trHeight w:val="168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Высота, м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>
        <w:trPr>
          <w:trHeight w:val="168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застройки, м2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1764,0</w:t>
            </w:r>
          </w:p>
        </w:tc>
      </w:tr>
      <w:tr>
        <w:trPr>
          <w:trHeight w:val="168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площадь, м2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</w:tr>
      <w:tr>
        <w:trPr>
          <w:trHeight w:val="168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 объем, м3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24000,0</w:t>
            </w:r>
          </w:p>
        </w:tc>
      </w:tr>
      <w:tr>
        <w:trPr>
          <w:trHeight w:val="168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конструктивных решений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Конструктивные схема здания – стальные каркасные конструкции. 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Стеновое ограждение -из облегченных трехслойных панелей типа «сэндвич» с металлическим каркасом. 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Подземная часть –монолитный железобетон.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Кровля плоская из профилированного настила. 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0" w:right="0" w:hanging="0"/>
              <w:contextualSpacing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Водоподводящий ковш</w:t>
            </w:r>
          </w:p>
        </w:tc>
      </w:tr>
      <w:tr>
        <w:trPr>
          <w:trHeight w:val="168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описание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Гидротехническое сооружение</w:t>
            </w:r>
          </w:p>
        </w:tc>
      </w:tr>
      <w:tr>
        <w:trPr>
          <w:trHeight w:val="168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 ответственности ГТС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</w:tr>
      <w:tr>
        <w:trPr>
          <w:trHeight w:val="168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Пожарно-техническая классификация объекта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огнестойкости – IV</w:t>
            </w:r>
          </w:p>
        </w:tc>
      </w:tr>
      <w:tr>
        <w:trPr>
          <w:trHeight w:val="168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конструктивной пожарной опасности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С0</w:t>
            </w:r>
          </w:p>
        </w:tc>
      </w:tr>
      <w:tr>
        <w:trPr>
          <w:trHeight w:val="168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Габаритные размеры, м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25х70</w:t>
            </w:r>
          </w:p>
        </w:tc>
      </w:tr>
      <w:tr>
        <w:trPr>
          <w:trHeight w:val="168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застройки, м2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1750,00</w:t>
            </w:r>
          </w:p>
        </w:tc>
      </w:tr>
      <w:tr>
        <w:trPr>
          <w:trHeight w:val="168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 объем, м3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21000,00</w:t>
            </w:r>
          </w:p>
        </w:tc>
      </w:tr>
      <w:tr>
        <w:trPr>
          <w:trHeight w:val="168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конструктивных решений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из монолитного железобетона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ind w:left="360" w:right="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Аванкамера</w:t>
            </w:r>
          </w:p>
        </w:tc>
      </w:tr>
      <w:tr>
        <w:trPr>
          <w:trHeight w:val="168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описание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Гидротехническое сооружение</w:t>
            </w:r>
          </w:p>
        </w:tc>
      </w:tr>
      <w:tr>
        <w:trPr>
          <w:trHeight w:val="168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 ответственности ГТС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</w:tr>
      <w:tr>
        <w:trPr>
          <w:trHeight w:val="168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Пожарно-техническая классификация объекта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огнестойкости – I</w:t>
            </w:r>
          </w:p>
        </w:tc>
      </w:tr>
      <w:tr>
        <w:trPr>
          <w:trHeight w:val="168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Габаритные размеры, м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30х50</w:t>
            </w:r>
          </w:p>
        </w:tc>
      </w:tr>
      <w:tr>
        <w:trPr>
          <w:trHeight w:val="168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застройки, м2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</w:tr>
      <w:tr>
        <w:trPr>
          <w:trHeight w:val="168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 объем, м3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18000,00</w:t>
            </w:r>
          </w:p>
        </w:tc>
      </w:tr>
      <w:tr>
        <w:trPr>
          <w:trHeight w:val="168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конструктивных решений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из монолитного железобетона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ind w:left="360" w:right="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Подпорная стенка</w:t>
            </w:r>
          </w:p>
        </w:tc>
      </w:tr>
      <w:tr>
        <w:trPr>
          <w:trHeight w:val="168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описание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Гидротехническое сооружение</w:t>
            </w:r>
          </w:p>
        </w:tc>
      </w:tr>
      <w:tr>
        <w:trPr>
          <w:trHeight w:val="168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 ответственности ГТС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</w:tr>
      <w:tr>
        <w:trPr>
          <w:trHeight w:val="168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Пожарно-техническая классификация объекта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подлежит категорированию</w:t>
            </w:r>
          </w:p>
        </w:tc>
      </w:tr>
      <w:tr>
        <w:trPr>
          <w:trHeight w:val="168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Габаритные размеры, м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девять секций (ячеистая конструкция) 10,0×24,0м</w:t>
            </w:r>
          </w:p>
        </w:tc>
      </w:tr>
      <w:tr>
        <w:trPr>
          <w:trHeight w:val="168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застройки, м2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2160 </w:t>
            </w:r>
          </w:p>
        </w:tc>
      </w:tr>
      <w:tr>
        <w:trPr>
          <w:trHeight w:val="168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Особенности конструктивных решений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Сооружение из монолитного железобетона</w:t>
            </w:r>
          </w:p>
        </w:tc>
      </w:tr>
    </w:tbl>
    <w:p>
      <w:pPr>
        <w:pStyle w:val="Normal"/>
        <w:spacing w:lineRule="auto" w:line="276" w:before="0" w:after="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Heading4"/>
        <w:keepNext w:val="true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uppressAutoHyphens w:val="true"/>
        <w:overflowPunct w:val="false"/>
        <w:bidi w:val="0"/>
        <w:spacing w:before="240" w:after="60"/>
        <w:ind w:left="454" w:right="0" w:firstLine="283"/>
        <w:jc w:val="both"/>
        <w:rPr>
          <w:sz w:val="24"/>
          <w:szCs w:val="24"/>
        </w:rPr>
      </w:pPr>
      <w:bookmarkStart w:id="20" w:name="__RefHeading___Toc12006_3645919304"/>
      <w:bookmarkStart w:id="21" w:name="_Toc223008883"/>
      <w:bookmarkStart w:id="22" w:name="_Toc220520386"/>
      <w:bookmarkEnd w:id="20"/>
      <w:r>
        <w:rPr>
          <w:sz w:val="24"/>
          <w:szCs w:val="24"/>
          <w:shd w:fill="auto" w:val="clear"/>
        </w:rPr>
        <w:t>Общие требования пр</w:t>
      </w:r>
      <w:r>
        <w:rPr>
          <w:sz w:val="24"/>
          <w:szCs w:val="24"/>
          <w:shd w:fill="auto" w:val="clear"/>
          <w:lang w:val="ru-RU"/>
        </w:rPr>
        <w:t>и</w:t>
      </w:r>
      <w:r>
        <w:rPr>
          <w:sz w:val="24"/>
          <w:szCs w:val="24"/>
          <w:shd w:fill="auto" w:val="clear"/>
        </w:rPr>
        <w:t xml:space="preserve"> проведении мониторинга цен</w:t>
      </w:r>
      <w:bookmarkEnd w:id="21"/>
      <w:bookmarkEnd w:id="22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</w:rPr>
      </w:pPr>
      <w:bookmarkStart w:id="23" w:name="__RefHeading___Toc6984_958015815"/>
      <w:bookmarkEnd w:id="23"/>
      <w:r>
        <w:rPr>
          <w:rFonts w:eastAsia="Calibri"/>
          <w:sz w:val="24"/>
          <w:szCs w:val="24"/>
          <w:shd w:fill="auto" w:val="clear"/>
          <w:lang w:val="x-none" w:eastAsia="x-none"/>
        </w:rPr>
        <w:t>Мониторинг цен не является публичной офертой</w:t>
      </w:r>
      <w:r>
        <w:rPr>
          <w:rFonts w:eastAsia="Calibri"/>
          <w:sz w:val="24"/>
          <w:szCs w:val="24"/>
          <w:shd w:fill="auto" w:val="clear"/>
          <w:lang w:eastAsia="x-none"/>
        </w:rPr>
        <w:t>, п</w:t>
      </w:r>
      <w:r>
        <w:rPr>
          <w:rFonts w:eastAsia="Calibri"/>
          <w:sz w:val="24"/>
          <w:szCs w:val="24"/>
          <w:shd w:fill="auto" w:val="clear"/>
          <w:lang w:val="x-none" w:eastAsia="x-none"/>
        </w:rPr>
        <w:t>о результатам мониторинга цен договор не</w:t>
      </w:r>
      <w:r>
        <w:rPr>
          <w:rFonts w:eastAsia="Calibri"/>
          <w:sz w:val="24"/>
          <w:szCs w:val="24"/>
          <w:shd w:fill="auto" w:val="clear"/>
          <w:lang w:val="en-US" w:eastAsia="x-none"/>
        </w:rPr>
        <w:t> </w:t>
      </w:r>
      <w:r>
        <w:rPr>
          <w:rFonts w:eastAsia="Calibri"/>
          <w:sz w:val="24"/>
          <w:szCs w:val="24"/>
          <w:shd w:fill="auto" w:val="clear"/>
          <w:lang w:val="x-none" w:eastAsia="x-none"/>
        </w:rPr>
        <w:t xml:space="preserve">заключается. </w:t>
      </w:r>
    </w:p>
    <w:p>
      <w:pPr>
        <w:pStyle w:val="Normal"/>
        <w:spacing w:lineRule="auto" w:line="276" w:before="0" w:after="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iCs/>
        </w:rPr>
      </w:pPr>
      <w:bookmarkStart w:id="24" w:name="__RefHeading___Toc3943_3135389030"/>
      <w:bookmarkStart w:id="25" w:name="_Toc171606757"/>
      <w:bookmarkEnd w:id="24"/>
      <w:r>
        <w:rPr>
          <w:iCs/>
        </w:rPr>
        <w:t>Требования к продукции</w:t>
      </w:r>
      <w:bookmarkEnd w:id="25"/>
    </w:p>
    <w:p>
      <w:pPr>
        <w:pStyle w:val="Heading4"/>
        <w:numPr>
          <w:ilvl w:val="1"/>
          <w:numId w:val="3"/>
        </w:numPr>
        <w:rPr/>
      </w:pPr>
      <w:bookmarkStart w:id="26" w:name="__RefHeading___Toc3945_3135389030"/>
      <w:bookmarkStart w:id="27" w:name="_Toc171606758"/>
      <w:bookmarkEnd w:id="26"/>
      <w:r>
        <w:rPr/>
        <w:t xml:space="preserve">Требования к объемам и срокам </w:t>
      </w:r>
      <w:r>
        <w:rPr>
          <w:lang w:val="ru-RU"/>
        </w:rPr>
        <w:t>выполнения работ</w:t>
      </w:r>
      <w:bookmarkEnd w:id="27"/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28" w:name="__RefHeading___Toc3947_3135389030"/>
      <w:bookmarkStart w:id="29" w:name="_Toc171606759"/>
      <w:bookmarkEnd w:id="28"/>
      <w:r>
        <w:rPr>
          <w:lang w:val="ru-RU"/>
        </w:rPr>
        <w:t>Требования к видам и объемам работ</w:t>
      </w:r>
      <w:bookmarkEnd w:id="29"/>
    </w:p>
    <w:p>
      <w:pPr>
        <w:pStyle w:val="Heading1"/>
        <w:numPr>
          <w:ilvl w:val="0"/>
          <w:numId w:val="0"/>
        </w:numPr>
        <w:ind w:left="0" w:hanging="0"/>
        <w:rPr/>
      </w:pPr>
      <w:bookmarkStart w:id="30" w:name="__RefHeading___Toc6992_958015815"/>
      <w:bookmarkStart w:id="31" w:name="_Toc209097561"/>
      <w:bookmarkStart w:id="32" w:name="_Toc214007303"/>
      <w:bookmarkStart w:id="33" w:name="_Toc51339695_Копия_2"/>
      <w:bookmarkEnd w:id="30"/>
      <w:r>
        <w:rPr/>
        <w:t xml:space="preserve">Таблица 3. Перечень </w:t>
      </w:r>
      <w:bookmarkEnd w:id="33"/>
      <w:r>
        <w:rPr/>
        <w:t>и объем выполняемых работ</w:t>
      </w:r>
      <w:bookmarkEnd w:id="31"/>
      <w:bookmarkEnd w:id="32"/>
    </w:p>
    <w:tbl>
      <w:tblPr>
        <w:tblW w:w="9810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29"/>
        <w:gridCol w:w="6259"/>
        <w:gridCol w:w="1477"/>
        <w:gridCol w:w="1244"/>
      </w:tblGrid>
      <w:tr>
        <w:trPr/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работ / этапа работ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</w:tr>
      <w:tr>
        <w:trPr/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right="0" w:hanging="0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jc w:val="both"/>
              <w:rPr/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val="x-none" w:eastAsia="x-none"/>
              </w:rPr>
              <w:t>ОКПД2  71.12.11 Осуществление научно-технического сопровождения проектирования в части выполнения альтернативных расчетов при обосновании проектных решений в составе Раздела 4 (конструктивные решения)</w:t>
            </w:r>
            <w:r>
              <w:rPr>
                <w:rFonts w:eastAsia="Calibri"/>
                <w:b w:val="false"/>
                <w:bCs w:val="false"/>
                <w:color w:val="000000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val="x-none" w:eastAsia="x-none"/>
              </w:rPr>
              <w:t>проектной документации по объекту: «УТВС. Строительство водозаборного сооружения с насосной станцией 1-го подъема на реке Норильская. Этап строительства 2. Основные сооружения»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Усл. ед.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6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Этап 1. Получение и анализ полноты и качества исходных данных. Выполнение принципиальных расчётов на устойчивость и прочность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 ед.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</w:tr>
      <w:tr>
        <w:trPr/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right="0" w:hanging="0"/>
              <w:jc w:val="center"/>
              <w:rPr/>
            </w:pPr>
            <w:r>
              <w:rPr/>
              <w:t>1.2.</w:t>
            </w:r>
          </w:p>
        </w:tc>
        <w:tc>
          <w:tcPr>
            <w:tcW w:w="6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Этап 2.</w:t>
            </w:r>
            <w:r>
              <w:rPr/>
              <w:t xml:space="preserve"> </w:t>
            </w:r>
            <w:r>
              <w:rPr>
                <w:bCs/>
                <w:sz w:val="20"/>
                <w:szCs w:val="20"/>
              </w:rPr>
              <w:t>Выполнение расчета первичной консолидации грунтов основания после 1-го этапа оттаивания прослоек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 ед.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</w:tr>
      <w:tr>
        <w:trPr/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6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sz w:val="20"/>
                <w:szCs w:val="20"/>
              </w:rPr>
              <w:t>Этап 3. Техническое сопровождение результатов НТС в составе общего проекта при прохождении государственной экспертизы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 ед.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</w:tr>
    </w:tbl>
    <w:p>
      <w:pPr>
        <w:pStyle w:val="Heading3"/>
        <w:numPr>
          <w:ilvl w:val="0"/>
          <w:numId w:val="0"/>
        </w:numPr>
        <w:ind w:left="1276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numPr>
          <w:ilvl w:val="0"/>
          <w:numId w:val="0"/>
        </w:numPr>
        <w:ind w:left="1276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numPr>
          <w:ilvl w:val="0"/>
          <w:numId w:val="0"/>
        </w:numPr>
        <w:ind w:left="1276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34" w:name="__RefHeading___Toc3949_3135389030"/>
      <w:bookmarkStart w:id="35" w:name="_Toc171606760"/>
      <w:bookmarkStart w:id="36" w:name="_Toc51339696"/>
      <w:bookmarkEnd w:id="34"/>
      <w:r>
        <w:rPr>
          <w:lang w:val="ru-RU"/>
        </w:rPr>
        <w:t xml:space="preserve">Требования </w:t>
      </w:r>
      <w:bookmarkEnd w:id="36"/>
      <w:r>
        <w:rPr>
          <w:lang w:val="ru-RU"/>
        </w:rPr>
        <w:t>к срокам выполнения работ</w:t>
      </w:r>
      <w:bookmarkEnd w:id="35"/>
    </w:p>
    <w:p>
      <w:pPr>
        <w:pStyle w:val="Heading1"/>
        <w:numPr>
          <w:ilvl w:val="0"/>
          <w:numId w:val="0"/>
        </w:numPr>
        <w:spacing w:before="0" w:after="0"/>
        <w:ind w:left="0" w:right="0" w:hanging="0"/>
        <w:rPr/>
      </w:pPr>
      <w:bookmarkStart w:id="37" w:name="__RefHeading___Toc10830_3135389030"/>
      <w:bookmarkStart w:id="38" w:name="_Toc51339697"/>
      <w:bookmarkStart w:id="39" w:name="_Toc50125127"/>
      <w:bookmarkEnd w:id="37"/>
      <w:r>
        <w:rPr/>
        <w:t xml:space="preserve">Таблица 4. </w:t>
      </w:r>
      <w:bookmarkStart w:id="40" w:name="_Hlk50465284"/>
      <w:r>
        <w:rPr/>
        <w:t xml:space="preserve">Требования по срокам </w:t>
      </w:r>
      <w:bookmarkEnd w:id="38"/>
      <w:bookmarkEnd w:id="39"/>
      <w:bookmarkEnd w:id="40"/>
      <w:r>
        <w:rPr/>
        <w:t>выполнения работ</w:t>
      </w:r>
    </w:p>
    <w:tbl>
      <w:tblPr>
        <w:tblW w:w="99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5016"/>
        <w:gridCol w:w="2217"/>
        <w:gridCol w:w="1982"/>
      </w:tblGrid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работ/ этапа работ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началу срока выполнения работ/ этапа работ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окончанию срока выполнения работ / этапа работ</w:t>
            </w:r>
          </w:p>
        </w:tc>
      </w:tr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val="x-none" w:eastAsia="x-none"/>
              </w:rPr>
              <w:t>ОКПД2  71.12.11 Осуществление научно-технического сопровождения проектирования в части выполнения альтернативных расчетов при обосновании проектных решений в составе Раздела 4 (конструктивные решения) проектной документации по объекту: «УТВС. Строительство водозаборного сооружения с насосной станцией 1-го подъема на реке Норильская. Этап строительства 2. Основные сооружения»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Дата, следующая за датой заключения договора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  <w:t>в течение 90 (девяносто) календарных дней с даты, следующей за датой заключения договора</w:t>
            </w:r>
          </w:p>
        </w:tc>
      </w:tr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left="360" w:right="0" w:hanging="36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1.1.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bCs/>
                <w:color w:val="0D0D0D"/>
                <w:sz w:val="20"/>
                <w:szCs w:val="20"/>
                <w:shd w:fill="auto" w:val="clear"/>
              </w:rPr>
              <w:t>Этап 1. Получение и анализ полноты и качества исходных данных. Выполнение принципиальных расчётов на устойчивость и прочность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Дата, следующая за датой заключения договора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bCs/>
                <w:sz w:val="20"/>
                <w:szCs w:val="20"/>
                <w:shd w:fill="auto" w:val="clear"/>
              </w:rPr>
              <w:t xml:space="preserve">В течение 90 дней с даты, следующей за датой заключения договора </w:t>
            </w:r>
          </w:p>
        </w:tc>
      </w:tr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left="360" w:right="0" w:hanging="36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1.2.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bCs/>
                <w:sz w:val="20"/>
                <w:szCs w:val="20"/>
                <w:shd w:fill="auto" w:val="clear"/>
              </w:rPr>
              <w:t>Этап 2.</w:t>
            </w:r>
            <w:r>
              <w:rPr>
                <w:sz w:val="20"/>
                <w:szCs w:val="20"/>
                <w:shd w:fill="auto" w:val="clear"/>
              </w:rPr>
              <w:t xml:space="preserve"> </w:t>
            </w:r>
            <w:r>
              <w:rPr>
                <w:bCs/>
                <w:sz w:val="20"/>
                <w:szCs w:val="20"/>
                <w:shd w:fill="auto" w:val="clear"/>
              </w:rPr>
              <w:t>Выполнение расчета первичной консолидации грунтов основания после 1-го этапа оттаивания прослоек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Дата, следующая за датой заключения договора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bCs/>
                <w:sz w:val="20"/>
                <w:szCs w:val="20"/>
                <w:shd w:fill="auto" w:val="clear"/>
              </w:rPr>
              <w:t xml:space="preserve">В течение 90 дней с даты, следующей за датой заключения договора </w:t>
            </w:r>
          </w:p>
        </w:tc>
      </w:tr>
      <w:tr>
        <w:trPr/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left="360" w:right="0" w:hanging="36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1.3..</w:t>
            </w:r>
          </w:p>
        </w:tc>
        <w:tc>
          <w:tcPr>
            <w:tcW w:w="5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bCs/>
                <w:color w:val="0D0D0D"/>
                <w:sz w:val="20"/>
                <w:szCs w:val="20"/>
                <w:shd w:fill="auto" w:val="clear"/>
              </w:rPr>
              <w:t>Этап 3. Техническое сопровождение результатов НТС в составе общего проекта при прохождении государственной экспертизы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iCs/>
                <w:sz w:val="20"/>
                <w:szCs w:val="20"/>
                <w:shd w:fill="auto" w:val="clear"/>
              </w:rPr>
              <w:t>Дата, следующая за датой заключения договора с государственной экспертизой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bCs/>
                <w:sz w:val="20"/>
                <w:szCs w:val="20"/>
                <w:shd w:fill="auto" w:val="clear"/>
              </w:rPr>
              <w:t>в течение 62 рабочих дней с даты, за датой заключения договора с государственной экспертизой</w:t>
            </w:r>
          </w:p>
        </w:tc>
      </w:tr>
    </w:tbl>
    <w:p>
      <w:pPr>
        <w:sectPr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41" w:name="__RefHeading___Toc3951_3135389030"/>
      <w:bookmarkStart w:id="42" w:name="_Toc171606761"/>
      <w:bookmarkEnd w:id="41"/>
      <w:r>
        <w:rPr/>
        <w:t xml:space="preserve">Требования к </w:t>
      </w:r>
      <w:r>
        <w:rPr>
          <w:lang w:val="ru-RU"/>
        </w:rPr>
        <w:t>качеству работ</w:t>
      </w:r>
      <w:bookmarkEnd w:id="42"/>
    </w:p>
    <w:p>
      <w:pPr>
        <w:pStyle w:val="Heading1"/>
        <w:numPr>
          <w:ilvl w:val="0"/>
          <w:numId w:val="0"/>
        </w:numPr>
        <w:spacing w:before="0" w:after="0"/>
        <w:ind w:left="0" w:right="0" w:hanging="0"/>
        <w:rPr/>
      </w:pPr>
      <w:bookmarkStart w:id="43" w:name="__RefHeading___Toc88534_3135389030"/>
      <w:bookmarkStart w:id="44" w:name="_Toc50125131"/>
      <w:bookmarkStart w:id="45" w:name="_Toc51339698"/>
      <w:bookmarkEnd w:id="43"/>
      <w:r>
        <w:rPr>
          <w:b/>
          <w:color w:val="000000"/>
          <w:sz w:val="24"/>
          <w:szCs w:val="20"/>
        </w:rPr>
        <w:t xml:space="preserve">Таблица 5. Требования к </w:t>
      </w:r>
      <w:bookmarkEnd w:id="44"/>
      <w:bookmarkEnd w:id="45"/>
      <w:r>
        <w:rPr>
          <w:b/>
          <w:color w:val="000000"/>
          <w:sz w:val="24"/>
          <w:szCs w:val="20"/>
        </w:rPr>
        <w:t xml:space="preserve">качеству работ </w:t>
      </w:r>
    </w:p>
    <w:p>
      <w:pPr>
        <w:pStyle w:val="Normal"/>
        <w:snapToGrid w:val="false"/>
        <w:spacing w:before="0" w:after="1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работ/этапа работ (позиция №1 Таблицы 3): </w:t>
      </w:r>
      <w:r>
        <w:rPr>
          <w:b w:val="false"/>
          <w:bCs w:val="false"/>
          <w:color w:val="000000"/>
          <w:sz w:val="24"/>
          <w:szCs w:val="24"/>
          <w:lang w:val="x-none" w:eastAsia="x-none"/>
        </w:rPr>
        <w:t xml:space="preserve">ОКПД2  71.12.11 Осуществление научно-технического сопровождения проектирования в части выполнения альтернативных расчетов при обосновании проектных решений в составе Раздела 4 </w:t>
      </w:r>
      <w:r>
        <w:rPr>
          <w:rFonts w:eastAsia="Calibri"/>
          <w:b w:val="false"/>
          <w:bCs w:val="false"/>
          <w:color w:val="000000"/>
          <w:sz w:val="24"/>
          <w:szCs w:val="24"/>
          <w:lang w:val="x-none" w:eastAsia="x-none"/>
        </w:rPr>
        <w:t>(конструктивные решения)</w:t>
      </w:r>
      <w:r>
        <w:rPr>
          <w:b w:val="false"/>
          <w:bCs w:val="false"/>
          <w:color w:val="000000"/>
          <w:sz w:val="24"/>
          <w:szCs w:val="24"/>
          <w:lang w:val="x-none" w:eastAsia="x-none"/>
        </w:rPr>
        <w:t xml:space="preserve"> проектной документации по объекту: «УТВС. Строительство водозаборного сооружения с насосной станцией 1-го подъема на реке Норильская. Этап строительства 2. Основные сооружения»</w:t>
      </w:r>
    </w:p>
    <w:tbl>
      <w:tblPr>
        <w:tblW w:w="1535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712"/>
        <w:gridCol w:w="9637"/>
        <w:gridCol w:w="1641"/>
        <w:gridCol w:w="1694"/>
      </w:tblGrid>
      <w:tr>
        <w:trPr>
          <w:trHeight w:val="330" w:hRule="atLeast"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9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330" w:hRule="atLeast"/>
        </w:trPr>
        <w:tc>
          <w:tcPr>
            <w:tcW w:w="6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7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63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b/>
                <w:b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b/>
                <w:b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234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Требования к выполнению работ 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Предоставление ответа на запрос ТКП по форме Приложения №1 к настоящим техническим требованиям</w:t>
            </w:r>
          </w:p>
        </w:tc>
      </w:tr>
      <w:tr>
        <w:trPr>
          <w:trHeight w:val="474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eastAsia="Calibri" w:cs="Times New Roman"/>
                <w:b/>
                <w:bCs/>
                <w:i w:val="false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/>
                <w:b/>
                <w:bCs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Общие требования к выполнению работ</w:t>
            </w:r>
          </w:p>
        </w:tc>
        <w:tc>
          <w:tcPr>
            <w:tcW w:w="1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Состав работ</w:t>
            </w:r>
          </w:p>
        </w:tc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napToGrid w:val="false"/>
              <w:spacing w:before="0" w:after="170"/>
              <w:ind w:left="0" w:right="0" w:hanging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Работы выполняются в 3 этапа:</w:t>
            </w:r>
          </w:p>
          <w:p>
            <w:pPr>
              <w:pStyle w:val="ListParagraph"/>
              <w:widowControl w:val="false"/>
              <w:snapToGrid w:val="false"/>
              <w:spacing w:before="0" w:after="120"/>
              <w:ind w:left="0" w:right="0" w:hanging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Этап 1. Получение и анализ полноты и качества исходных данных. Выполнение принципиальных расчётов на устойчивость и прочность.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napToGrid w:val="false"/>
              <w:spacing w:before="0" w:after="120"/>
              <w:ind w:left="0" w:right="0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 основании отчетов по геологическим изысканиям, а также общим техническим решениям (передаются после заключения договора), требуется:</w:t>
            </w:r>
          </w:p>
          <w:p>
            <w:pPr>
              <w:pStyle w:val="ListParagraph"/>
              <w:widowControl w:val="false"/>
              <w:snapToGrid w:val="false"/>
              <w:spacing w:before="0" w:after="120"/>
              <w:ind w:left="0" w:right="0" w:hanging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  <w:t>выполнить расчеты прочности и устойчивости сооружений с учетом изменений свойств грунтов после оттайки и первичной консолидации на нагрузки строительного и эксплуатационного периодов;</w:t>
            </w:r>
          </w:p>
          <w:p>
            <w:pPr>
              <w:pStyle w:val="ListParagraph"/>
              <w:widowControl w:val="false"/>
              <w:snapToGrid w:val="false"/>
              <w:spacing w:before="0" w:after="120"/>
              <w:ind w:left="0" w:right="0" w:hanging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  <w:t>разработка рекомендаций по учету нагрузок и воздействий на проектируемые сооружения, включая воздействия изменения температурного и гидрогеологического режима основания (при необходимости);</w:t>
            </w:r>
          </w:p>
          <w:p>
            <w:pPr>
              <w:pStyle w:val="ListParagraph"/>
              <w:widowControl w:val="false"/>
              <w:snapToGrid w:val="false"/>
              <w:spacing w:before="0" w:after="120"/>
              <w:ind w:left="0" w:right="0" w:hanging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  <w:t>выполнить оценку кренов бетонных сооружений с заключением о соответствии требованиям нормативных документов;</w:t>
            </w:r>
          </w:p>
          <w:p>
            <w:pPr>
              <w:pStyle w:val="ListParagraph"/>
              <w:widowControl w:val="false"/>
              <w:snapToGrid w:val="false"/>
              <w:spacing w:before="0" w:after="120"/>
              <w:ind w:left="0" w:right="0" w:hanging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  <w:t>выполнить проверку устойчивости сооружений при основных и особых сочетаниях нагрузок в период строительства и эксплуатации с заключением о соответствии требованиям нормативных документов;</w:t>
            </w:r>
          </w:p>
          <w:p>
            <w:pPr>
              <w:pStyle w:val="ListParagraph"/>
              <w:widowControl w:val="false"/>
              <w:snapToGrid w:val="false"/>
              <w:spacing w:before="0" w:after="120"/>
              <w:ind w:left="0" w:right="0" w:hanging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  <w:t>выполнить проверку достаточности принятого в проекте армирования для обеспечения условий прочности и трещиностойкости элементов сооружений;</w:t>
            </w:r>
          </w:p>
          <w:p>
            <w:pPr>
              <w:pStyle w:val="ListParagraph"/>
              <w:widowControl w:val="false"/>
              <w:snapToGrid w:val="false"/>
              <w:spacing w:before="0" w:after="120"/>
              <w:ind w:left="0" w:right="0" w:hanging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  <w:t>дать описание процессов и рисков с учетом сложной геологии многолетнемерзлых грунтов с прогнозом осадок проектируемых ЗиС и оценкой влияния на ЗиС окружающей застройки;</w:t>
            </w:r>
          </w:p>
          <w:p>
            <w:pPr>
              <w:pStyle w:val="ListParagraph"/>
              <w:widowControl w:val="false"/>
              <w:snapToGrid w:val="false"/>
              <w:spacing w:before="113" w:after="113"/>
              <w:ind w:left="0" w:right="0" w:hanging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  <w:t>анализ расчётного обоснования по водозаборному сооружению с насосной станцией 1-го подъема с учетом результатов инженерных изысканий.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napToGrid w:val="false"/>
              <w:spacing w:before="0" w:after="120"/>
              <w:ind w:left="0" w:right="0" w:hanging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Этап 2. Выполнение расчета первичной консолидации грунтов основания после 1-го этапа оттаивания прослоек.</w:t>
            </w:r>
          </w:p>
          <w:p>
            <w:pPr>
              <w:pStyle w:val="ListParagraph"/>
              <w:widowControl w:val="false"/>
              <w:snapToGrid w:val="false"/>
              <w:spacing w:before="0" w:after="120"/>
              <w:ind w:left="0" w:right="0" w:hanging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  <w:t>определение расчетных параметров консолидации для талых и оттаивающих грунтовых прослоек;</w:t>
            </w:r>
          </w:p>
          <w:p>
            <w:pPr>
              <w:pStyle w:val="ListParagraph"/>
              <w:widowControl w:val="false"/>
              <w:snapToGrid w:val="false"/>
              <w:spacing w:before="0" w:after="120"/>
              <w:ind w:left="0" w:right="0" w:hanging="0"/>
              <w:contextualSpacing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  <w:t>прогноз осадок, обусловленной первичной консолидацией грунтов основания;</w:t>
            </w:r>
          </w:p>
          <w:p>
            <w:pPr>
              <w:pStyle w:val="ListParagraph"/>
              <w:widowControl w:val="false"/>
              <w:snapToGrid w:val="false"/>
              <w:spacing w:before="0" w:after="120"/>
              <w:ind w:left="0" w:right="0" w:hanging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  <w:t>выполнить расчеты первичной осадки сооружений, вызванных консолидацией грунтов основания, с учетом графика производства работ согласно проектной документации;</w:t>
            </w:r>
          </w:p>
          <w:p>
            <w:pPr>
              <w:pStyle w:val="ListParagraph"/>
              <w:widowControl w:val="false"/>
              <w:snapToGrid w:val="false"/>
              <w:spacing w:before="0" w:after="120"/>
              <w:ind w:left="0" w:right="0" w:hanging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  <w:t>анализ влияния неравномерности оттаивания прослоек на деформации основания и условия эксплуатации сооружения;</w:t>
            </w:r>
          </w:p>
          <w:p>
            <w:pPr>
              <w:pStyle w:val="ListParagraph"/>
              <w:widowControl w:val="false"/>
              <w:snapToGrid w:val="false"/>
              <w:spacing w:before="0" w:after="113"/>
              <w:ind w:left="0" w:right="0" w:hanging="0"/>
              <w:contextualSpacing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– </w:t>
            </w:r>
            <w:r>
              <w:rPr>
                <w:b w:val="false"/>
                <w:bCs w:val="false"/>
                <w:sz w:val="20"/>
                <w:szCs w:val="20"/>
              </w:rPr>
              <w:t>оформить отчет по выполненным исследованиям в соответствии с требованиями нормативных документов.</w:t>
            </w:r>
          </w:p>
          <w:p>
            <w:pPr>
              <w:pStyle w:val="ListParagraph"/>
              <w:widowControl w:val="false"/>
              <w:snapToGrid w:val="false"/>
              <w:spacing w:before="0" w:after="120"/>
              <w:ind w:left="0" w:right="0" w:hanging="0"/>
              <w:contextualSpacing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Этап 3. </w:t>
              <w:tab/>
              <w:t xml:space="preserve">Техническое сопровождение результатов НТС в составе общего проекта при прохождении государственной экспертизы 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napToGrid w:val="false"/>
              <w:spacing w:before="0" w:after="120"/>
              <w:ind w:left="0" w:right="0" w:hanging="0"/>
              <w:contextualSpacing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Сопровождение и согласование документации, выполненной в рамках этапов 1, 2 в государственной экспертизе.</w:t>
            </w:r>
          </w:p>
        </w:tc>
        <w:tc>
          <w:tcPr>
            <w:tcW w:w="1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napToGrid w:val="false"/>
              <w:spacing w:before="0" w:after="170"/>
              <w:ind w:left="0" w:right="0" w:hanging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napToGrid w:val="false"/>
              <w:spacing w:before="0" w:after="170"/>
              <w:ind w:left="0" w:right="0" w:hanging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Требование к расчетам</w:t>
            </w:r>
          </w:p>
        </w:tc>
        <w:tc>
          <w:tcPr>
            <w:tcW w:w="9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contextualSpacing/>
              <w:jc w:val="both"/>
              <w:rPr/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– </w:t>
            </w: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До начала работ требуется согласовать объем выполняемых расчетов с Заказчиком;</w:t>
            </w:r>
          </w:p>
          <w:p>
            <w:pPr>
              <w:pStyle w:val="ListParagraph"/>
              <w:widowControl w:val="false"/>
              <w:ind w:left="0" w:right="0" w:hanging="0"/>
              <w:jc w:val="both"/>
              <w:rPr/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– </w:t>
            </w: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Альтернативный (поверочный) расчет должен отвечать всем требованиям, содержащимся в СП 539.1325800.2024. Свод правил. Научно-техническое сопровождение инженерных изысканий, проектирования и строительства. Общие положения, а также в действующих нормативных документах РФ. При этом использованные подходы и методы моделирования должны быть идентичными или близкими;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contextualSpacing/>
              <w:jc w:val="both"/>
              <w:rPr/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– </w:t>
            </w: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По результатам проведённого альтернативного расчета должно быть выполнено сопоставление с результатами основного расчета, выполненного Заказчиком, и установлены результаты и их соответствие согласно п.9.3.2.8 СП 539.1325800.2024. Свод правил. Научно-техническое сопровождение инженерных изысканий, проектирования и строительства. Общие положения;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contextualSpacing/>
              <w:jc w:val="both"/>
              <w:rPr/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– </w:t>
            </w: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Альтернативный расчёт должен содержать исчерпывающую информацию о проведенных расчетах, методиках моделирования, принятых нагрузках и воздействиях;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contextualSpacing/>
              <w:jc w:val="both"/>
              <w:rPr/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–  </w:t>
            </w: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Программный комплекс для выполнения расчетов должен быть отличным от </w:t>
            </w: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en-US" w:eastAsia="ru-RU" w:bidi="ar-SA"/>
              </w:rPr>
              <w:t>Plaxis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264" w:hRule="atLeast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Перечень объектов проектирования</w:t>
            </w:r>
          </w:p>
        </w:tc>
        <w:tc>
          <w:tcPr>
            <w:tcW w:w="9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right="0" w:hanging="0"/>
              <w:contextualSpacing w:val="false"/>
              <w:jc w:val="both"/>
              <w:rPr/>
            </w:pPr>
            <w:r>
              <w:rPr>
                <w:rFonts w:cs="Times New Roman"/>
                <w:bCs/>
                <w:kern w:val="0"/>
                <w:sz w:val="20"/>
                <w:szCs w:val="20"/>
                <w:lang w:val="ru-RU" w:eastAsia="ru-RU" w:bidi="ar-SA"/>
              </w:rPr>
              <w:t>Проектированию подлежат объекты</w:t>
            </w:r>
            <w:r>
              <w:rPr>
                <w:rFonts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bCs/>
                <w:kern w:val="0"/>
                <w:sz w:val="20"/>
                <w:szCs w:val="20"/>
                <w:lang w:val="ru-RU" w:eastAsia="ru-RU" w:bidi="ar-SA"/>
              </w:rPr>
              <w:t>водозаборного сооружения с насосной станцией 1-го подъема на реке Норильская»: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0" w:right="0" w:hanging="0"/>
              <w:contextualSpacing w:val="false"/>
              <w:jc w:val="both"/>
              <w:rPr/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Насосная станция первого подъёма (подземная часть)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0" w:right="0" w:hanging="0"/>
              <w:contextualSpacing w:val="false"/>
              <w:jc w:val="both"/>
              <w:rPr/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Водоподводящий ковш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0" w:right="0" w:hanging="0"/>
              <w:contextualSpacing w:val="false"/>
              <w:jc w:val="both"/>
              <w:rPr/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Аванкамера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napToGrid w:val="false"/>
              <w:spacing w:lineRule="auto" w:line="240" w:before="0" w:after="0"/>
              <w:ind w:left="0" w:right="0" w:hanging="0"/>
              <w:contextualSpacing w:val="false"/>
              <w:jc w:val="both"/>
              <w:rPr/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Подпорная стенка</w:t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right="0" w:hanging="0"/>
              <w:contextualSpacing w:val="false"/>
              <w:jc w:val="both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right="0" w:hanging="0"/>
              <w:contextualSpacing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Этапы выполнения работ</w:t>
            </w:r>
          </w:p>
        </w:tc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right="0" w:hanging="0"/>
              <w:contextualSpacing w:val="false"/>
              <w:jc w:val="both"/>
              <w:rPr/>
            </w:pPr>
            <w:r>
              <w:rPr>
                <w:rFonts w:cs="Times New Roman"/>
                <w:bCs/>
                <w:kern w:val="0"/>
                <w:sz w:val="20"/>
                <w:szCs w:val="20"/>
                <w:lang w:val="ru-RU" w:eastAsia="ru-RU" w:bidi="ar-SA"/>
              </w:rPr>
              <w:t>Работы выполняются согласно п.1.1.1 Таблицы 5 настоящих ТТ</w:t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right="0" w:hanging="0"/>
              <w:contextualSpacing w:val="false"/>
              <w:jc w:val="both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right="0" w:hanging="0"/>
              <w:contextualSpacing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Особые условия работы оборудования и производства работ</w:t>
            </w:r>
          </w:p>
        </w:tc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При выполнении работ учесть следующие усложняющие факторы на производстве:</w:t>
            </w:r>
          </w:p>
          <w:p>
            <w:pPr>
              <w:pStyle w:val="ListParagraph"/>
              <w:widowControl w:val="false"/>
              <w:numPr>
                <w:ilvl w:val="0"/>
                <w:numId w:val="15"/>
              </w:numPr>
              <w:snapToGrid w:val="false"/>
              <w:spacing w:before="0" w:after="0"/>
              <w:ind w:left="0" w:right="0" w:hanging="0"/>
              <w:contextualSpacing w:val="false"/>
              <w:jc w:val="both"/>
              <w:rPr/>
            </w:pPr>
            <w:r>
              <w:rPr>
                <w:rFonts w:cs="Times New Roman"/>
                <w:bCs/>
                <w:kern w:val="0"/>
                <w:sz w:val="20"/>
                <w:szCs w:val="20"/>
                <w:lang w:val="ru-RU" w:eastAsia="ru-RU" w:bidi="ar-SA"/>
              </w:rPr>
              <w:t>Производство СМР круглый год</w:t>
            </w:r>
          </w:p>
          <w:p>
            <w:pPr>
              <w:pStyle w:val="ListParagraph"/>
              <w:widowControl w:val="false"/>
              <w:numPr>
                <w:ilvl w:val="0"/>
                <w:numId w:val="15"/>
              </w:numPr>
              <w:snapToGrid w:val="false"/>
              <w:spacing w:before="0" w:after="0"/>
              <w:ind w:left="0" w:right="0" w:hanging="0"/>
              <w:contextualSpacing w:val="false"/>
              <w:jc w:val="both"/>
              <w:rPr/>
            </w:pPr>
            <w:r>
              <w:rPr>
                <w:rFonts w:cs="Times New Roman"/>
                <w:bCs/>
                <w:kern w:val="0"/>
                <w:sz w:val="20"/>
                <w:szCs w:val="20"/>
                <w:lang w:val="ru-RU" w:eastAsia="ru-RU" w:bidi="ar-SA"/>
              </w:rPr>
              <w:t xml:space="preserve">Производство СМР вблизи реки. </w:t>
            </w:r>
          </w:p>
          <w:p>
            <w:pPr>
              <w:pStyle w:val="ListParagraph"/>
              <w:widowControl w:val="false"/>
              <w:numPr>
                <w:ilvl w:val="0"/>
                <w:numId w:val="15"/>
              </w:numPr>
              <w:snapToGrid w:val="false"/>
              <w:spacing w:before="0" w:after="0"/>
              <w:ind w:left="0" w:right="0" w:hanging="0"/>
              <w:contextualSpacing w:val="false"/>
              <w:jc w:val="both"/>
              <w:rPr/>
            </w:pPr>
            <w:r>
              <w:rPr>
                <w:rFonts w:cs="Times New Roman"/>
                <w:bCs/>
                <w:kern w:val="0"/>
                <w:sz w:val="20"/>
                <w:szCs w:val="20"/>
                <w:lang w:val="ru-RU" w:eastAsia="ru-RU" w:bidi="ar-SA"/>
              </w:rPr>
              <w:t>Многолетнемерзлые грунты и сквозные талики.</w:t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ind w:left="0" w:right="0" w:hanging="0"/>
              <w:jc w:val="both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ind w:left="0" w:right="0" w:hanging="0"/>
              <w:jc w:val="both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Границы проектирования</w:t>
            </w:r>
          </w:p>
        </w:tc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right="0" w:hanging="0"/>
              <w:contextualSpacing w:val="false"/>
              <w:jc w:val="both"/>
              <w:rPr/>
            </w:pPr>
            <w:r>
              <w:rPr>
                <w:rFonts w:cs="Times New Roman"/>
                <w:bCs/>
                <w:kern w:val="0"/>
                <w:sz w:val="20"/>
                <w:szCs w:val="20"/>
                <w:lang w:val="ru-RU" w:eastAsia="ru-RU" w:bidi="ar-SA"/>
              </w:rPr>
              <w:t>Правый берег и русло реки Норильская. Строительная площадка в зоне постоянного отвода.</w:t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right="0" w:hanging="0"/>
              <w:contextualSpacing w:val="false"/>
              <w:jc w:val="both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right="0" w:hanging="0"/>
              <w:contextualSpacing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Дополнительные требования к выполнению работ</w:t>
            </w:r>
          </w:p>
        </w:tc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napToGrid w:val="false"/>
              <w:spacing w:before="0" w:after="0"/>
              <w:ind w:left="0" w:right="0" w:hanging="0"/>
              <w:contextualSpacing w:val="false"/>
              <w:jc w:val="both"/>
              <w:rPr/>
            </w:pPr>
            <w:r>
              <w:rPr>
                <w:rFonts w:cs="Times New Roman"/>
                <w:bCs/>
                <w:kern w:val="0"/>
                <w:sz w:val="20"/>
                <w:szCs w:val="20"/>
                <w:lang w:val="ru-RU" w:eastAsia="ru-RU" w:bidi="ar-SA"/>
              </w:rPr>
              <w:t>Исполнитель проводит расчеты в различных вариантах конструкций и способа производства работ</w:t>
            </w: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, предлагает о</w:t>
            </w:r>
            <w:r>
              <w:rPr>
                <w:rFonts w:cs="Times New Roman"/>
                <w:bCs/>
                <w:kern w:val="0"/>
                <w:sz w:val="20"/>
                <w:szCs w:val="20"/>
                <w:lang w:val="ru-RU" w:eastAsia="ru-RU" w:bidi="ar-SA"/>
              </w:rPr>
              <w:t>боснование оптимального варианта.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napToGrid w:val="false"/>
              <w:spacing w:before="0" w:after="0"/>
              <w:ind w:left="0" w:right="0" w:hanging="0"/>
              <w:contextualSpacing w:val="false"/>
              <w:jc w:val="both"/>
              <w:rPr/>
            </w:pPr>
            <w:r>
              <w:rPr/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napToGrid w:val="false"/>
              <w:spacing w:before="0" w:after="0"/>
              <w:ind w:left="0" w:right="0" w:hanging="0"/>
              <w:contextualSpacing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eastAsia="Calibri" w:cs="Times New Roman"/>
                <w:i/>
                <w:i/>
                <w:i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организации работ</w:t>
            </w:r>
          </w:p>
        </w:tc>
        <w:tc>
          <w:tcPr>
            <w:tcW w:w="1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ind w:left="0" w:right="0" w:hanging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Общие требования</w:t>
            </w:r>
          </w:p>
        </w:tc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/>
                <w:bCs/>
                <w:kern w:val="0"/>
                <w:sz w:val="20"/>
                <w:szCs w:val="20"/>
                <w:lang w:val="ru-RU" w:eastAsia="ru-RU" w:bidi="ar-SA"/>
              </w:rPr>
              <w:t>На каждый из Объектов проектирования (согласно п.1.1.3 Таблицы 5) необходимо разработать расчетные схемы и согласовать их с Заказчиком.</w:t>
            </w:r>
          </w:p>
        </w:tc>
        <w:tc>
          <w:tcPr>
            <w:tcW w:w="1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contextualSpacing w:val="false"/>
              <w:jc w:val="left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contextualSpacing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ind w:left="0" w:right="0" w:hanging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Требование к участию в совещаниях, посещению площадки строительства</w:t>
            </w:r>
          </w:p>
        </w:tc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/>
                <w:bCs/>
                <w:kern w:val="0"/>
                <w:sz w:val="20"/>
                <w:szCs w:val="20"/>
                <w:lang w:val="ru-RU" w:eastAsia="ru-RU" w:bidi="ar-SA"/>
              </w:rPr>
              <w:t>Исполнитель должен обеспечивать участие в еженедельных совещаниях с Заказчиком.</w:t>
            </w:r>
          </w:p>
        </w:tc>
        <w:tc>
          <w:tcPr>
            <w:tcW w:w="1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contextualSpacing w:val="false"/>
              <w:jc w:val="left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contextualSpacing w:val="false"/>
              <w:jc w:val="left"/>
              <w:rPr/>
            </w:pPr>
            <w:r>
              <w:rPr/>
            </w:r>
          </w:p>
        </w:tc>
      </w:tr>
      <w:tr>
        <w:trPr>
          <w:trHeight w:val="167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ind w:left="0" w:right="0" w:hanging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Допуск на объект</w:t>
            </w:r>
          </w:p>
        </w:tc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Не требуется</w:t>
            </w:r>
          </w:p>
        </w:tc>
        <w:tc>
          <w:tcPr>
            <w:tcW w:w="1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eastAsia="Calibri" w:cs="Times New Roman"/>
                <w:i/>
                <w:i/>
                <w:i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  <w:tc>
          <w:tcPr>
            <w:tcW w:w="1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Требования к оборудованию и материалам, применяемым в расчетах</w:t>
            </w:r>
          </w:p>
        </w:tc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contextualSpacing/>
              <w:jc w:val="both"/>
              <w:rPr/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Оборудование и материалы, применяемые при проектировании должны быть преимущественно российского производства и иметь сертификаты соответствия требованиям промышленной безопасности и разрешений на применение.</w:t>
            </w:r>
          </w:p>
        </w:tc>
        <w:tc>
          <w:tcPr>
            <w:tcW w:w="1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Требования к применяемому ПО при разработке документации</w:t>
            </w:r>
          </w:p>
        </w:tc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contextualSpacing/>
              <w:jc w:val="both"/>
              <w:rPr/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Все используемые для проектирования программные продукты (в т.ч. расчетные программы) должны быть лицензированы и сертифицированы.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contextualSpacing/>
              <w:jc w:val="both"/>
              <w:rPr/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Отчетная документация должна быть разработана, скомплектована и представлена в электронном виде: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before="0" w:after="0"/>
              <w:ind w:left="785" w:right="0" w:hanging="360"/>
              <w:contextualSpacing/>
              <w:jc w:val="both"/>
              <w:rPr/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в редактируемом формате, включая, но не ограничиваясь форматами, поддерживаемые ПО MS Office, NanoCad;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before="0" w:after="0"/>
              <w:ind w:left="785" w:right="0" w:hanging="360"/>
              <w:contextualSpacing/>
              <w:jc w:val="both"/>
              <w:rPr/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в не редактируемом формате, включая, но не ограничиваясь форматами, поддерживаемые ПО Acrobat, Adobe pdf, ABBY FineReader.</w:t>
            </w:r>
          </w:p>
        </w:tc>
        <w:tc>
          <w:tcPr>
            <w:tcW w:w="1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righ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Cs/>
                <w:i w:val="false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/>
                <w:b/>
                <w:bCs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1.4.</w:t>
            </w:r>
          </w:p>
        </w:tc>
        <w:tc>
          <w:tcPr>
            <w:tcW w:w="113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Cs/>
                <w:i/>
                <w:i/>
                <w:iCs/>
                <w:sz w:val="20"/>
                <w:szCs w:val="20"/>
                <w:shd w:fill="FFFF99" w:val="clear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контролю качества работ и материалов</w:t>
            </w:r>
          </w:p>
        </w:tc>
        <w:tc>
          <w:tcPr>
            <w:tcW w:w="1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Cs/>
                <w:i/>
                <w:i/>
                <w:iCs/>
                <w:sz w:val="20"/>
                <w:szCs w:val="20"/>
                <w:shd w:fill="FFFF99" w:val="clear"/>
              </w:rPr>
            </w:pPr>
            <w:r>
              <w:rPr>
                <w:bCs/>
                <w:i/>
                <w:iCs/>
                <w:sz w:val="20"/>
                <w:szCs w:val="20"/>
                <w:shd w:fill="FFFF99" w:val="clear"/>
              </w:rPr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Cs/>
                <w:i/>
                <w:i/>
                <w:iCs/>
                <w:sz w:val="20"/>
                <w:szCs w:val="20"/>
                <w:shd w:fill="FFFF99" w:val="clear"/>
              </w:rPr>
            </w:pPr>
            <w:r>
              <w:rPr>
                <w:bCs/>
                <w:i/>
                <w:iCs/>
                <w:sz w:val="20"/>
                <w:szCs w:val="20"/>
                <w:shd w:fill="FFFF99" w:val="clear"/>
              </w:rPr>
            </w:r>
          </w:p>
        </w:tc>
      </w:tr>
      <w:tr>
        <w:trPr/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Требования к контролю качества работ и материалов</w:t>
            </w:r>
          </w:p>
        </w:tc>
        <w:tc>
          <w:tcPr>
            <w:tcW w:w="9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0" w:after="0"/>
              <w:ind w:left="360" w:right="0" w:hanging="3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Исполнитель после получения исходных данных от Заказчика производит их входной контроль, по результатам которого составляется протокол передачи исходных данных.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0" w:after="0"/>
              <w:ind w:left="360" w:right="0" w:hanging="3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Заказчик в период исполнения договора обеспечивает курирование работ (проведение консультаций, контроль и мониторинг выполнения работ, организацию совещаний с Подрядными строительными организациями, Застройщиком), проводимых Исполнителем.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0" w:after="0"/>
              <w:ind w:left="360" w:right="0" w:hanging="3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>Исполнитель обеспечивает контроль качества в соответствии с требованиями действующей НТД по системам менеджмента качества.</w:t>
            </w:r>
          </w:p>
        </w:tc>
        <w:tc>
          <w:tcPr>
            <w:tcW w:w="1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360" w:right="0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360" w:right="0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60" w:after="6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Cs/>
                <w:i w:val="false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/>
                <w:b/>
                <w:bCs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1.5.</w:t>
            </w:r>
          </w:p>
        </w:tc>
        <w:tc>
          <w:tcPr>
            <w:tcW w:w="113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9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contextualSpacing/>
              <w:jc w:val="both"/>
              <w:rPr/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Выполнить работы специалистами, в количестве: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0" w:after="0"/>
              <w:ind w:left="360" w:right="0" w:hanging="360"/>
              <w:contextualSpacing/>
              <w:jc w:val="both"/>
              <w:rPr/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не менее 4-х специалистов в области изысканий и проектных работ, включённых в Национальный реестр специалистов НОПРИЗ.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0" w:after="0"/>
              <w:ind w:left="360" w:right="0" w:hanging="360"/>
              <w:contextualSpacing/>
              <w:jc w:val="both"/>
              <w:rPr/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наличие в штате не менее 1-го специалиста с научными степенями кандидата технических наук или доктора технических наук.</w:t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righ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Cs/>
                <w:i w:val="false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/>
                <w:b/>
                <w:bCs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1.6.</w:t>
            </w:r>
          </w:p>
        </w:tc>
        <w:tc>
          <w:tcPr>
            <w:tcW w:w="113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безопасности работ и охране труда</w:t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ind w:right="0" w:hanging="0"/>
              <w:contextualSpacing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1.6.1.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left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Требования к безопасности работ и охране труда</w:t>
            </w:r>
          </w:p>
        </w:tc>
        <w:tc>
          <w:tcPr>
            <w:tcW w:w="9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contextualSpacing/>
              <w:jc w:val="both"/>
              <w:rPr/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Исполнитель должен соблюдать требования действующего федерального законодательства Российской Федерации, нормативных правовых актов субъектов Российской Федерации, в т.ч. законодательство об охране окружающей среды, промышленной и пожарной безопасности, охране труда, энергоэффективности, а также все прочие законы и нормативные акты, относящиеся к сфере деятельности.</w:t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ascii="Times New Roman" w:hAnsi="Times New Roman" w:eastAsia="Calibri" w:cs="Times New Roman"/>
                <w:i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результатам работ</w:t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65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eastAsia="Calibri" w:cs="Times New Roman"/>
                <w:i/>
                <w:i/>
                <w:i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Общие требования к результатам работ:</w:t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rPr>
          <w:trHeight w:val="500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/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 xml:space="preserve">Результат </w:t>
            </w:r>
            <w:r>
              <w:rPr>
                <w:rStyle w:val="Style14"/>
                <w:rFonts w:eastAsia="Times New Roman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работ</w:t>
            </w:r>
          </w:p>
        </w:tc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Результатом работ является научно-технический отчет в составе, предусмотренном пунктом 1.1.1 ТТ</w:t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eastAsia="Calibri" w:cs="Times New Roman"/>
                <w:i/>
                <w:i/>
                <w:i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>
                <w:b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техническим и функциональным характеристикам объекта, которые должны быть достигнуты в результате выполнения работ, включая гарантируемые показатели</w:t>
            </w:r>
            <w:r>
              <w:rPr>
                <w:rFonts w:eastAsia="Times New Roman" w:cs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both"/>
              <w:rPr>
                <w:b/>
                <w:i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both"/>
              <w:rPr>
                <w:b/>
                <w:i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Общие требования</w:t>
            </w:r>
          </w:p>
        </w:tc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contextualSpacing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Технические и функциональные характеристики проектируемых объектов должны быть аналогичны стадии ПД.</w:t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contextualSpacing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contextualSpacing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right="0" w:hanging="1199"/>
              <w:contextualSpacing/>
              <w:jc w:val="center"/>
              <w:rPr>
                <w:rFonts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Требования по достижению технологических показателей</w:t>
            </w:r>
          </w:p>
        </w:tc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contextualSpacing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Исполнителем должен быть предложен и обоснован оптимальный способ строительства сооружений</w:t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contextualSpacing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contextualSpacing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eastAsia="Calibri" w:cs="Times New Roman"/>
                <w:i/>
                <w:i/>
                <w:i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порядку приемки результатов работ</w:t>
            </w:r>
            <w:r>
              <w:rPr>
                <w:rFonts w:eastAsia="Times New Roman" w:cs="Times New Roman"/>
                <w:bCs/>
                <w:i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Cs/>
                <w:i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Cs/>
                <w:i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eastAsia="Calibri" w:cs="Times New Roman"/>
                <w:i/>
                <w:i/>
                <w:i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contextualSpacing/>
              <w:rPr/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Порядок приемки результатов работ</w:t>
            </w:r>
          </w:p>
        </w:tc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0" w:hanging="0"/>
              <w:jc w:val="both"/>
              <w:rPr/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Приемка работ осуществляется в следующем порядке: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Разработанная Исполнителем документация должна быть передана Заказчику на согласование в электронном виде (ред. формат) с сопроводительным письмом и описью.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Документация согласуется Заказчиком.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В случае получения замечаний, Исполнитель предоставляет Заказчику откорректированную документацию также в электронном виде.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После согласования документации Заказчиком Исполнитель передает её Заказчику в электронном виде и на бумажном носителе с отметкой «финальная версия»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Исполнитель передает Заказчику подписанный со своей стороны акт сдачи-приемки выполненных работ (в 2 экз.)</w:t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0" w:hanging="0"/>
              <w:jc w:val="both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0" w:hanging="0"/>
              <w:jc w:val="both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eastAsia="Calibri" w:cs="Times New Roman"/>
                <w:i/>
                <w:i/>
                <w:i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оформлению документации</w:t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Требование к формату и количеству передаваемой документации</w:t>
            </w:r>
          </w:p>
        </w:tc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Исполнитель предоставляет отчетную документацию на русском языке.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Согласованная документация предоставляется на: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pacing w:before="0" w:after="0"/>
              <w:ind w:left="786" w:right="0" w:hanging="360"/>
              <w:contextualSpacing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бумажном носителе удостоверенной уполномоченным лицом Исполнителя в 2 экз.;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pacing w:before="0" w:after="0"/>
              <w:ind w:left="786" w:right="0" w:hanging="360"/>
              <w:contextualSpacing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электронным носителях (типа CD, DVD, флэш-накопителях) в 2 экз.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Форматы предоставления электронной документации: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before="0" w:after="0"/>
              <w:ind w:left="786" w:right="0" w:hanging="360"/>
              <w:contextualSpacing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графическая часть: dwg, pdf (едиными файлами комплектов с подписями и печатями);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before="0" w:after="0"/>
              <w:ind w:left="786" w:right="0" w:hanging="360"/>
              <w:contextualSpacing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текстовая часть: doc, xlsx, pdf (едиными файлами комплектов с подписями и печатями);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сметная документация: xml, gge, gsfx ПК «Гранд-Смета», ЕхсеL и в формате pdf (с подписями и печатями);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презентационные материалы: ppt.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righ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Cs/>
                <w:i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/>
                <w:b/>
                <w:bCs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3.</w:t>
            </w:r>
          </w:p>
        </w:tc>
        <w:tc>
          <w:tcPr>
            <w:tcW w:w="113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работ (помимо указанных в других разделах ТТ)</w:t>
            </w:r>
          </w:p>
        </w:tc>
        <w:tc>
          <w:tcPr>
            <w:tcW w:w="1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ind w:right="0" w:hanging="0"/>
              <w:contextualSpacing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3.1.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  <w:t>Требования к соблюдению действующих нормативных документов</w:t>
            </w:r>
          </w:p>
        </w:tc>
        <w:tc>
          <w:tcPr>
            <w:tcW w:w="9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Постановление правительства РФ № 815 от 28.05.2021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Постановление правительства РФ № 815 от 28.05.2021 «Об утверждении перечня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«Технический регламент о безопасности зданий и сооружений»;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Градостроительный кодекс Российской Федерации от 29.12.2004 №190-ФЗ;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Федеральный закон Российской Федерации от 21 декабря 1994 г. №69-ФЗ «О пожарной безопасности»;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Федеральный закон Российской Федерации от 21 июля 1997 г. №116-ФЗ «О промышленной безопасности опасных производственных объектов»;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Федеральный закон Российской Федерации от 27 декабря 2002 №184-ФЗ «О техническом регулировании»;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Федеральный Закон от 23 ноября 2009 года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napToGrid w:val="false"/>
              <w:spacing w:before="0" w:after="120"/>
              <w:ind w:left="360" w:right="0" w:hanging="360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Федеральный закон Российской Федерации от 10 января 2002 г. №7-ФЗ «Об охране окружающей среды»;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napToGrid w:val="false"/>
              <w:spacing w:before="0" w:after="120"/>
              <w:ind w:left="360" w:right="0" w:hanging="360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Федеральный Закон Российской Федерации от 30.12.2009 г. №384-ФЗ «Технический регламент о безопасности зданий и сооружений»;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Федеральные нормы и правила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давлением», утверждены Приказом Ростехнадзора от 15 декабря 2020 года N 536;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napToGrid w:val="false"/>
              <w:spacing w:before="0" w:after="120"/>
              <w:ind w:left="360" w:right="0" w:hanging="360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СП 44.13330.2011 «Административные и бытовые здания»;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СП 18.13330.2019 «Производственные объекты. Планировочная организация земельного участка»;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СП 28.13330.2017 «Защита строительных конструкций от коррозии»;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СП 43.13330.2012 «Сооружения промышленных предприятий»;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СП 58.13330.2019 «Гидротехнические сооружения. Основные положения»;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СП 70.13330.2012 «Несущие и ограждающие конструкции»;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СП 72.13330.2016 «Защита строительных конструкций и сооружений от коррозии»;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СП 131.13330.2012 «Свод правил. Строительная климатология»;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СП 43.13330 «Сооружения промышленных предприятий»;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napToGrid w:val="false"/>
              <w:spacing w:before="0" w:after="120"/>
              <w:ind w:left="360" w:right="0" w:hanging="36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СП</w:t>
            </w: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58</w:t>
            </w: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.</w:t>
            </w: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en-US" w:eastAsia="ru-RU" w:bidi="ar-SA"/>
              </w:rPr>
              <w:t>13330</w:t>
            </w: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.</w:t>
            </w: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en-US" w:eastAsia="ru-RU" w:bidi="ar-SA"/>
              </w:rPr>
              <w:t>2019 “</w:t>
            </w: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Гидротехнические сооружения. Основные положения»;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СН 476-75 «Инструкция по проектированию опускных колодцев, погружаемых в тиксотропной рубашке»;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napToGrid w:val="false"/>
              <w:spacing w:before="0" w:after="120"/>
              <w:ind w:left="360" w:right="0" w:hanging="36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СП 539.1325800.2024 «Научно-техническое сопровождение инженерных изысканий, проектирования и строительства. Общие положения»;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СП 14.13330 «Строительство в сейсмических районах»;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СП 21.13330 «Здания и сооружения на подрабатываемых территориях и просадочных грунтах»;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СП 22.13330 «Основания зданий и сооружений»;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СП 24.13330 «Свайные фундаменты»;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СП 25.13330 «Основания и фундаменты на вечномерзлых грунтах»;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napToGrid w:val="false"/>
              <w:spacing w:before="0" w:after="120"/>
              <w:ind w:left="360" w:right="0" w:hanging="360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СП 124.13330 «Тепловые сети»;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ГОСТ 12.1.004-91 «Пожарная безопасность. Общие требования»;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ГОСТ 27751-2014 «Надежность строительных конструкций и оснований»;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ГОСТ Р 21.101-2020 «Система проектной документации для строительства. Основные требования к проектной и рабочей документации»;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ГОСТ 12.3.020-80 «Система стандартов безопасности труда. Процессы перемещения грузов на предприятиях. Общие требования безопасности» (с изменением 1);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ГОСТ 28609-90 «Краны грузоподъемные. Основные положения расчета».</w:t>
            </w:r>
          </w:p>
        </w:tc>
        <w:tc>
          <w:tcPr>
            <w:tcW w:w="1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360" w:right="0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360" w:right="0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Times New Roman" w:hAnsi="Times New Roman" w:eastAsia="Calibri" w:cs="Times New Roman"/>
                <w:b/>
                <w:bCs/>
                <w:i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/>
                <w:b/>
                <w:bCs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4.</w:t>
            </w:r>
          </w:p>
        </w:tc>
        <w:tc>
          <w:tcPr>
            <w:tcW w:w="1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both"/>
              <w:rPr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both"/>
              <w:rPr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both"/>
              <w:rPr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2"/>
              </w:numPr>
              <w:spacing w:before="60" w:after="60"/>
              <w:ind w:left="502" w:right="0" w:hanging="360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Гарантийный срок на результат работ</w:t>
            </w:r>
          </w:p>
        </w:tc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ind w:left="0" w:right="0" w:hanging="0"/>
              <w:jc w:val="both"/>
              <w:rPr/>
            </w:pPr>
            <w:r>
              <w:rPr>
                <w:rFonts w:cs="Times New Roman"/>
                <w:bCs/>
                <w:kern w:val="0"/>
                <w:sz w:val="20"/>
                <w:szCs w:val="20"/>
                <w:lang w:val="ru-RU" w:eastAsia="ru-RU" w:bidi="ar-SA"/>
              </w:rPr>
              <w:t xml:space="preserve">Гарантийные обязательства выполненных работ Исполнителя должны сохраняться на период не менее, чем получение положительного заключения государственной экспертизы </w:t>
            </w:r>
          </w:p>
        </w:tc>
        <w:tc>
          <w:tcPr>
            <w:tcW w:w="1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right="0" w:hanging="0"/>
              <w:jc w:val="both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right="0" w:hanging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2"/>
              </w:numPr>
              <w:spacing w:before="60" w:after="60"/>
              <w:ind w:left="502" w:right="0" w:hanging="360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Требования об ответственности Исполнителя за недостатки</w:t>
            </w:r>
          </w:p>
        </w:tc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contextualSpacing/>
              <w:jc w:val="both"/>
              <w:rPr/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Исполнитель несет ответственность за недостатки документации, возникшие по вине Исполнителя, в соответствии с законодательством РФ</w:t>
            </w:r>
          </w:p>
        </w:tc>
        <w:tc>
          <w:tcPr>
            <w:tcW w:w="1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2"/>
              </w:numPr>
              <w:spacing w:before="60" w:after="60"/>
              <w:ind w:left="502" w:right="0" w:hanging="360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Требования к устранению недостатков</w:t>
            </w:r>
          </w:p>
        </w:tc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contextualSpacing/>
              <w:jc w:val="both"/>
              <w:rPr/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Исполнитель устраняет недостатки документации, возникшие по вине Исполнителя, за собственные средства и в согласованные с Заказчиком сроки.</w:t>
            </w:r>
          </w:p>
        </w:tc>
        <w:tc>
          <w:tcPr>
            <w:tcW w:w="1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Times New Roman" w:hAnsi="Times New Roman" w:eastAsia="Calibri" w:cs="Times New Roman"/>
                <w:b/>
                <w:bCs/>
                <w:i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/>
                <w:b/>
                <w:bCs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5.</w:t>
            </w:r>
          </w:p>
        </w:tc>
        <w:tc>
          <w:tcPr>
            <w:tcW w:w="1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Исполнителю (и субисполнителям) и его обязательствам, влияющим на исполнение договора</w:t>
            </w:r>
          </w:p>
        </w:tc>
        <w:tc>
          <w:tcPr>
            <w:tcW w:w="1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5.1.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Требования к субподрядным организациям, привлекаемым к выполнению работ</w:t>
            </w:r>
          </w:p>
        </w:tc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09" w:leader="none"/>
                <w:tab w:val="left" w:pos="851" w:leader="none"/>
              </w:tabs>
              <w:spacing w:lineRule="auto" w:line="276"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Batang" w:cs="Times New Roman"/>
                <w:bCs/>
                <w:color w:val="000000"/>
                <w:kern w:val="0"/>
                <w:sz w:val="20"/>
                <w:szCs w:val="20"/>
                <w:lang w:val="ru-RU" w:eastAsia="ko-KR" w:bidi="ar-SA"/>
              </w:rPr>
              <w:t>Без привлечения субподрядных организаций</w:t>
            </w:r>
          </w:p>
        </w:tc>
        <w:tc>
          <w:tcPr>
            <w:tcW w:w="1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09" w:leader="none"/>
                <w:tab w:val="left" w:pos="851" w:leader="none"/>
              </w:tabs>
              <w:spacing w:lineRule="auto" w:line="276" w:before="0" w:after="0"/>
              <w:ind w:left="0" w:righ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09" w:leader="none"/>
                <w:tab w:val="left" w:pos="851" w:leader="none"/>
              </w:tabs>
              <w:spacing w:lineRule="auto" w:line="276" w:before="0" w:after="0"/>
              <w:ind w:left="0" w:right="0" w:hanging="0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/>
                <w:b/>
                <w:bCs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6.</w:t>
            </w:r>
          </w:p>
        </w:tc>
        <w:tc>
          <w:tcPr>
            <w:tcW w:w="1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требования к выполняемым работам</w:t>
            </w:r>
          </w:p>
        </w:tc>
        <w:tc>
          <w:tcPr>
            <w:tcW w:w="1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/>
                <w:bCs/>
                <w:i w:val="false"/>
                <w:iCs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6.1.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Исходные данные, передаваемые Исполнителю Заказчиком после заключения Договора</w:t>
            </w:r>
          </w:p>
        </w:tc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57" w:after="0"/>
              <w:ind w:left="0" w:right="0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Задание на проектирование;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57" w:after="0"/>
              <w:ind w:left="0" w:right="0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Результаты инженерных изысканий (исходные данные для альтернативных расчетов на основании требований СП 20.13330.2016 Нагрузки и воздействия. Актуализированная редакция СНиП 2.01.07-85*, СП 296.1325800.2017 Здания и сооружения. Особые воздействия, СП 539.1325800.2024 Научно-техническое сопровождение инженерных изысканий, проектирования и строительства);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57" w:after="0"/>
              <w:ind w:left="0" w:right="0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Геоподоснова строительной площадки с нанесением контуров проектируемого сооружения, действующих инженерных коммуникаций с предварительно назначенной и расчетной зонами влияния;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57" w:after="0"/>
              <w:ind w:left="0" w:right="0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Результаты теплотехнического расчёта для оценки первичной осадки;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57" w:after="0"/>
              <w:ind w:left="0" w:right="0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Проектная документация, разработанная по Постановлению Правительства РФ от 16.02.2008 N 87 О составе разделов проектной документации и требованиях к их содержанию (с изменениями на 21 октября 2025 года);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57" w:after="0"/>
              <w:ind w:left="0" w:right="0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Проектная документация передается Исполнителю в качестве исходных данных для проектирования;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57" w:after="0"/>
              <w:ind w:left="0" w:right="0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Проектная документация включает Объекты проектирования, обозначенные в Таблице 2 настоящих ТТ; 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57" w:after="0"/>
              <w:ind w:left="0" w:right="0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Иная информация, необходимая для создания расчетных моделей, но не включаемая в состав проектной документации, предоставляется по запросу.</w:t>
            </w:r>
          </w:p>
        </w:tc>
        <w:tc>
          <w:tcPr>
            <w:tcW w:w="1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57" w:after="0"/>
              <w:ind w:left="0" w:right="0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57" w:after="0"/>
              <w:ind w:left="0" w:right="0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Cs/>
                <w:i w:val="false"/>
                <w:i w:val="false"/>
                <w:i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bCs/>
                <w:i w:val="false"/>
                <w:iCs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6.2.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Calibri" w:cs="Times New Roman"/>
                <w:bCs/>
                <w:i w:val="false"/>
                <w:i w:val="false"/>
                <w:i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/>
                <w:bCs/>
                <w:i w:val="false"/>
                <w:i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Условия и порядок расчетов по договору</w:t>
            </w:r>
          </w:p>
        </w:tc>
        <w:tc>
          <w:tcPr>
            <w:tcW w:w="9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Без авансирования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Цена договора является твердой и определяется на весь срок исполнения договора.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ind w:left="360" w:right="0" w:hanging="360"/>
              <w:contextualSpacing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before="0" w:after="0"/>
        <w:ind w:left="709" w:right="142" w:hanging="0"/>
        <w:contextualSpacing/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Heading1"/>
        <w:keepLines/>
        <w:numPr>
          <w:ilvl w:val="0"/>
          <w:numId w:val="3"/>
        </w:numPr>
        <w:spacing w:before="0" w:after="0"/>
        <w:ind w:left="0" w:right="0" w:hanging="0"/>
        <w:rPr/>
      </w:pPr>
      <w:bookmarkStart w:id="46" w:name="__RefHeading___Toc12008_3645919304"/>
      <w:bookmarkStart w:id="47" w:name="_Toc223008892"/>
      <w:bookmarkEnd w:id="46"/>
      <w:r>
        <w:rPr>
          <w:sz w:val="24"/>
          <w:szCs w:val="24"/>
          <w:shd w:fill="auto" w:val="clear"/>
          <w:lang w:val="ru-RU"/>
        </w:rPr>
        <w:t>Состав заявки для мониторинга цен</w:t>
      </w:r>
      <w:bookmarkEnd w:id="47"/>
    </w:p>
    <w:p>
      <w:pPr>
        <w:pStyle w:val="Normal"/>
        <w:widowControl w:val="false"/>
        <w:numPr>
          <w:ilvl w:val="0"/>
        </w:numPr>
        <w:tabs>
          <w:tab w:val="clear" w:pos="708"/>
          <w:tab w:val="left" w:pos="426" w:leader="none"/>
          <w:tab w:val="left" w:pos="733" w:leader="none"/>
        </w:tabs>
        <w:suppressAutoHyphens w:val="true"/>
        <w:overflowPunct w:val="false"/>
        <w:bidi w:val="0"/>
        <w:spacing w:before="0" w:after="0"/>
        <w:ind w:left="0" w:right="0" w:hanging="0"/>
        <w:jc w:val="both"/>
        <w:rPr/>
      </w:pPr>
      <w:bookmarkStart w:id="48" w:name="_Toc51339699"/>
      <w:bookmarkStart w:id="49" w:name="_Toc46743519"/>
      <w:bookmarkEnd w:id="48"/>
      <w:bookmarkEnd w:id="49"/>
      <w:r>
        <w:rPr>
          <w:iCs/>
          <w:sz w:val="24"/>
          <w:szCs w:val="24"/>
          <w:shd w:fill="auto" w:val="clear"/>
          <w:lang w:eastAsia="x-none"/>
        </w:rPr>
        <w:t xml:space="preserve">3.1. </w:t>
      </w:r>
      <w:r>
        <w:rPr>
          <w:iCs/>
          <w:sz w:val="24"/>
          <w:szCs w:val="24"/>
          <w:shd w:fill="auto" w:val="clear"/>
          <w:lang w:val="x-none" w:eastAsia="x-none"/>
        </w:rPr>
        <w:t xml:space="preserve">В составе </w:t>
      </w:r>
      <w:r>
        <w:rPr>
          <w:iCs/>
          <w:sz w:val="24"/>
          <w:szCs w:val="24"/>
          <w:shd w:fill="auto" w:val="clear"/>
          <w:lang w:eastAsia="x-none"/>
        </w:rPr>
        <w:t xml:space="preserve">заявки на </w:t>
      </w:r>
      <w:r>
        <w:rPr>
          <w:iCs/>
          <w:sz w:val="24"/>
          <w:szCs w:val="24"/>
          <w:shd w:fill="auto" w:val="clear"/>
          <w:lang w:val="x-none" w:eastAsia="x-none"/>
        </w:rPr>
        <w:t xml:space="preserve">мониторинг цен необходимо представить </w:t>
      </w:r>
      <w:r>
        <w:rPr>
          <w:iCs/>
          <w:sz w:val="24"/>
          <w:szCs w:val="24"/>
          <w:shd w:fill="auto" w:val="clear"/>
          <w:lang w:eastAsia="x-none"/>
        </w:rPr>
        <w:t>Технико-коммерческое предложение по форме приложения №1 к настоящим Техническим требованиям.</w:t>
      </w:r>
    </w:p>
    <w:p>
      <w:pPr>
        <w:pStyle w:val="Normal"/>
        <w:numPr>
          <w:ilvl w:val="0"/>
          <w:numId w:val="0"/>
        </w:numPr>
        <w:spacing w:before="0" w:after="0"/>
        <w:ind w:left="0" w:right="0" w:hanging="0"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before="0" w:after="0"/>
        <w:ind w:left="709" w:right="142" w:hanging="0"/>
        <w:contextualSpacing/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spacing w:before="0" w:after="0"/>
        <w:ind w:left="709" w:right="142" w:hanging="0"/>
        <w:contextualSpacing/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spacing w:before="0" w:after="0"/>
        <w:ind w:left="709" w:right="142" w:hanging="0"/>
        <w:contextualSpacing/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spacing w:before="0" w:after="0"/>
        <w:ind w:left="709" w:right="142" w:hanging="0"/>
        <w:contextualSpacing/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spacing w:before="0" w:after="0"/>
        <w:ind w:left="709" w:right="142" w:hanging="0"/>
        <w:contextualSpacing/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spacing w:before="0" w:after="0"/>
        <w:ind w:left="709" w:right="142" w:hanging="0"/>
        <w:contextualSpacing/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spacing w:before="0" w:after="0"/>
        <w:ind w:left="709" w:right="142" w:hanging="0"/>
        <w:contextualSpacing/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spacing w:before="0" w:after="0"/>
        <w:ind w:left="709" w:right="142" w:hanging="0"/>
        <w:contextualSpacing/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spacing w:before="0" w:after="0"/>
        <w:ind w:left="709" w:right="142" w:hanging="0"/>
        <w:contextualSpacing/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spacing w:before="0" w:after="0"/>
        <w:ind w:left="709" w:right="142" w:hanging="0"/>
        <w:contextualSpacing/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spacing w:before="0" w:after="0"/>
        <w:ind w:left="709" w:right="142" w:hanging="0"/>
        <w:contextualSpacing/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spacing w:before="0" w:after="0"/>
        <w:ind w:left="709" w:right="142" w:hanging="0"/>
        <w:contextualSpacing/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numPr>
          <w:ilvl w:val="0"/>
          <w:numId w:val="0"/>
        </w:numPr>
        <w:spacing w:before="0" w:after="0"/>
        <w:ind w:left="709" w:right="142" w:hanging="0"/>
        <w:contextualSpacing/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426" w:leader="none"/>
        </w:tabs>
        <w:ind w:left="6160" w:right="142" w:hanging="0"/>
        <w:jc w:val="right"/>
        <w:rPr>
          <w:sz w:val="24"/>
        </w:rPr>
      </w:pPr>
      <w:r>
        <w:rPr>
          <w:sz w:val="24"/>
        </w:rPr>
        <w:t>Приложение № 1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426" w:leader="none"/>
        </w:tabs>
        <w:ind w:left="6160" w:hanging="0"/>
        <w:jc w:val="right"/>
        <w:rPr>
          <w:sz w:val="24"/>
        </w:rPr>
      </w:pPr>
      <w:r>
        <w:rPr>
          <w:sz w:val="24"/>
        </w:rPr>
        <w:t>к Техническим требованиям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426" w:leader="none"/>
        </w:tabs>
        <w:ind w:left="6160" w:hanging="0"/>
        <w:jc w:val="right"/>
        <w:rPr>
          <w:sz w:val="24"/>
        </w:rPr>
      </w:pPr>
      <w:r>
        <w:rPr>
          <w:sz w:val="24"/>
        </w:rPr>
      </w:r>
    </w:p>
    <w:tbl>
      <w:tblPr>
        <w:tblW w:w="986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866"/>
      </w:tblGrid>
      <w:tr>
        <w:trPr/>
        <w:tc>
          <w:tcPr>
            <w:tcW w:w="986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0" w:hanging="0"/>
              <w:jc w:val="center"/>
              <w:rPr/>
            </w:pPr>
            <w:r>
              <w:rPr>
                <w:b/>
                <w:sz w:val="24"/>
                <w:szCs w:val="24"/>
              </w:rPr>
              <w:t>Форма «Технико-коммерческое предложение»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начало формы</w:t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708"/>
          <w:tab w:val="left" w:pos="5812" w:leader="none"/>
        </w:tabs>
        <w:ind w:left="0" w:right="0" w:hanging="0"/>
        <w:jc w:val="center"/>
        <w:rPr/>
      </w:pPr>
      <w:r>
        <w:rPr>
          <w:i/>
          <w:sz w:val="24"/>
          <w:szCs w:val="24"/>
        </w:rPr>
        <w:t>На официальном бланке участника</w:t>
      </w:r>
    </w:p>
    <w:p>
      <w:pPr>
        <w:pStyle w:val="Normal"/>
        <w:numPr>
          <w:ilvl w:val="0"/>
          <w:numId w:val="0"/>
        </w:numPr>
        <w:suppressAutoHyphens w:val="true"/>
        <w:spacing w:before="0" w:after="240"/>
        <w:ind w:left="5038" w:hanging="0"/>
        <w:jc w:val="center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suppressAutoHyphens w:val="true"/>
        <w:spacing w:before="0" w:after="0"/>
        <w:ind w:left="0" w:right="0" w:hanging="0"/>
        <w:jc w:val="center"/>
        <w:rPr/>
      </w:pPr>
      <w:r>
        <w:rPr>
          <w:b/>
        </w:rPr>
        <w:t>Технико-коммерческое предложение</w:t>
      </w:r>
    </w:p>
    <w:p>
      <w:pPr>
        <w:pStyle w:val="Normal"/>
        <w:numPr>
          <w:ilvl w:val="0"/>
          <w:numId w:val="0"/>
        </w:numPr>
        <w:suppressAutoHyphens w:val="true"/>
        <w:spacing w:before="0" w:after="0"/>
        <w:ind w:left="0" w:right="0" w:hanging="0"/>
        <w:jc w:val="both"/>
        <w:rPr/>
      </w:pPr>
      <w:r>
        <w:rPr>
          <w:sz w:val="24"/>
          <w:szCs w:val="24"/>
        </w:rPr>
        <w:t>Изучив Технические требования Заказчика в рамках настоящего мониторинга</w:t>
      </w:r>
      <w:r>
        <w:rPr>
          <w:kern w:val="2"/>
          <w:sz w:val="24"/>
          <w:szCs w:val="24"/>
        </w:rPr>
        <w:t xml:space="preserve"> «</w:t>
      </w:r>
      <w:r>
        <w:rPr>
          <w:b w:val="false"/>
          <w:bCs w:val="false"/>
          <w:color w:val="000000"/>
          <w:kern w:val="2"/>
          <w:sz w:val="24"/>
          <w:szCs w:val="24"/>
          <w:lang w:val="x-none" w:eastAsia="x-none"/>
        </w:rPr>
        <w:t xml:space="preserve">ОКПД2  71.12.11 Осуществление научно-технического сопровождения проектирования в части выполнения альтернативных расчетов при обосновании проектных решений в составе Раздела 4 </w:t>
      </w:r>
      <w:r>
        <w:rPr>
          <w:rFonts w:eastAsia="Calibri"/>
          <w:b w:val="false"/>
          <w:bCs w:val="false"/>
          <w:color w:val="000000"/>
          <w:kern w:val="2"/>
          <w:sz w:val="24"/>
          <w:szCs w:val="24"/>
          <w:lang w:val="x-none" w:eastAsia="x-none"/>
        </w:rPr>
        <w:t>(конструктивные решения)</w:t>
      </w:r>
      <w:r>
        <w:rPr>
          <w:b w:val="false"/>
          <w:bCs w:val="false"/>
          <w:color w:val="000000"/>
          <w:kern w:val="2"/>
          <w:sz w:val="24"/>
          <w:szCs w:val="24"/>
          <w:lang w:val="x-none" w:eastAsia="x-none"/>
        </w:rPr>
        <w:t xml:space="preserve"> проектной документации по объекту: «УТВС. Строительство водозаборного сооружения с насосной станцией 1-го подъема на реке Норильская. Этап строительства 2. Основные сооружения»»</w:t>
      </w:r>
      <w:r>
        <w:rPr>
          <w:sz w:val="24"/>
          <w:szCs w:val="24"/>
        </w:rPr>
        <w:t xml:space="preserve">, </w:t>
      </w:r>
    </w:p>
    <w:p>
      <w:pPr>
        <w:pStyle w:val="Normal"/>
        <w:numPr>
          <w:ilvl w:val="0"/>
          <w:numId w:val="0"/>
        </w:numPr>
        <w:suppressAutoHyphens w:val="true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suppressAutoHyphens w:val="true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46"/>
        <w:gridCol w:w="274"/>
      </w:tblGrid>
      <w:tr>
        <w:trPr/>
        <w:tc>
          <w:tcPr>
            <w:tcW w:w="9646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0" w:hanging="0"/>
              <w:jc w:val="center"/>
              <w:rPr/>
            </w:pPr>
            <w:r>
              <w:rPr>
                <w:sz w:val="24"/>
                <w:szCs w:val="24"/>
                <w:vertAlign w:val="superscript"/>
              </w:rPr>
              <w:t>(полное наименование организации с указанием организационно-правой формы и ИНН)</w:t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9646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0" w:hanging="0"/>
              <w:jc w:val="both"/>
              <w:rPr/>
            </w:pPr>
            <w:r>
              <w:rPr>
                <w:sz w:val="24"/>
                <w:szCs w:val="24"/>
              </w:rPr>
              <w:t>,</w:t>
            </w:r>
          </w:p>
        </w:tc>
      </w:tr>
      <w:tr>
        <w:trPr/>
        <w:tc>
          <w:tcPr>
            <w:tcW w:w="9646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0" w:hanging="0"/>
              <w:jc w:val="center"/>
              <w:rPr/>
            </w:pPr>
            <w:r>
              <w:rPr>
                <w:sz w:val="24"/>
                <w:szCs w:val="24"/>
                <w:vertAlign w:val="superscript"/>
              </w:rPr>
              <w:t>(юридический адрес)</w:t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9646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0" w:hanging="0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ind w:left="0" w:right="0" w:hanging="0"/>
              <w:jc w:val="both"/>
              <w:rPr/>
            </w:pPr>
            <w:r>
              <w:rPr/>
              <w:t>,</w:t>
            </w:r>
          </w:p>
        </w:tc>
      </w:tr>
      <w:tr>
        <w:trPr/>
        <w:tc>
          <w:tcPr>
            <w:tcW w:w="9646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0" w:hanging="0"/>
              <w:jc w:val="center"/>
              <w:rPr/>
            </w:pPr>
            <w:r>
              <w:rPr>
                <w:sz w:val="24"/>
                <w:szCs w:val="24"/>
                <w:vertAlign w:val="superscript"/>
              </w:rPr>
              <w:t>(почтовый адрес)</w:t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9646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0" w:hanging="0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ind w:left="0" w:right="0" w:hanging="0"/>
              <w:jc w:val="both"/>
              <w:rPr/>
            </w:pPr>
            <w:r>
              <w:rPr/>
              <w:t>,</w:t>
            </w:r>
          </w:p>
        </w:tc>
      </w:tr>
    </w:tbl>
    <w:p>
      <w:pPr>
        <w:pStyle w:val="Normal"/>
        <w:numPr>
          <w:ilvl w:val="0"/>
          <w:numId w:val="0"/>
        </w:numPr>
        <w:ind w:left="0" w:right="0" w:hanging="0"/>
        <w:jc w:val="center"/>
        <w:rPr/>
      </w:pPr>
      <w:r>
        <w:rPr>
          <w:sz w:val="24"/>
          <w:szCs w:val="24"/>
          <w:vertAlign w:val="superscript"/>
        </w:rPr>
        <w:t>(контактные данные номер телефона, e-mail, ФИО контактного лица)</w:t>
      </w:r>
    </w:p>
    <w:p>
      <w:pPr>
        <w:pStyle w:val="Normal"/>
        <w:numPr>
          <w:ilvl w:val="0"/>
          <w:numId w:val="0"/>
        </w:numPr>
        <w:suppressAutoHyphens w:val="true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suppressAutoHyphens w:val="true"/>
        <w:ind w:left="0" w:right="0" w:hanging="0"/>
        <w:jc w:val="both"/>
        <w:rPr/>
      </w:pPr>
      <w:r>
        <w:rPr>
          <w:sz w:val="24"/>
          <w:szCs w:val="24"/>
        </w:rPr>
        <w:t xml:space="preserve">согласен </w:t>
      </w:r>
      <w:r>
        <w:rPr>
          <w:kern w:val="2"/>
          <w:sz w:val="24"/>
          <w:szCs w:val="24"/>
        </w:rPr>
        <w:t xml:space="preserve">со всеми условиями Технических требований, включая установленные (предложенные Заказчиком) сроки выполнения работ и условия оплаты, </w:t>
      </w:r>
      <w:r>
        <w:rPr>
          <w:sz w:val="24"/>
          <w:szCs w:val="24"/>
        </w:rPr>
        <w:t>и сообщаю следующее:</w:t>
      </w:r>
    </w:p>
    <w:p>
      <w:pPr>
        <w:pStyle w:val="Normal"/>
        <w:numPr>
          <w:ilvl w:val="0"/>
          <w:numId w:val="0"/>
        </w:numPr>
        <w:suppressAutoHyphens w:val="true"/>
        <w:ind w:left="0" w:hanging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af"/>
        <w:tblW w:w="986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81"/>
        <w:gridCol w:w="6184"/>
      </w:tblGrid>
      <w:tr>
        <w:trPr>
          <w:trHeight w:val="783" w:hRule="atLeast"/>
        </w:trPr>
        <w:tc>
          <w:tcPr>
            <w:tcW w:w="36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Стоимость работ, без НДС, руб.</w:t>
            </w:r>
          </w:p>
        </w:tc>
        <w:tc>
          <w:tcPr>
            <w:tcW w:w="618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00 000 000,00 руб. (сумма прописью)</w:t>
            </w:r>
          </w:p>
        </w:tc>
      </w:tr>
    </w:tbl>
    <w:p>
      <w:pPr>
        <w:pStyle w:val="Normal"/>
        <w:numPr>
          <w:ilvl w:val="0"/>
          <w:numId w:val="0"/>
        </w:numPr>
        <w:suppressAutoHyphens w:val="true"/>
        <w:ind w:left="5038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uppressAutoHyphens w:val="true"/>
        <w:spacing w:before="240" w:after="240"/>
        <w:ind w:left="0" w:hanging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suppressAutoHyphens w:val="true"/>
        <w:spacing w:before="0" w:after="0"/>
        <w:ind w:left="5038" w:hanging="0"/>
        <w:contextualSpacing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</w:r>
    </w:p>
    <w:tbl>
      <w:tblPr>
        <w:tblStyle w:val="af"/>
        <w:tblW w:w="9866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3290"/>
        <w:gridCol w:w="3278"/>
        <w:gridCol w:w="3298"/>
      </w:tblGrid>
      <w:tr>
        <w:trPr/>
        <w:tc>
          <w:tcPr>
            <w:tcW w:w="329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720" w:hanging="0"/>
              <w:contextualSpacing/>
              <w:jc w:val="left"/>
              <w:rPr>
                <w:rFonts w:ascii="Times New Roman" w:hAnsi="Times New Roman" w:eastAsia="Calibri" w:cs="Times New Roman"/>
                <w:color w:val="666666" w:themeShade="bf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color w:val="666666" w:themeShade="bf"/>
                <w:kern w:val="0"/>
                <w:sz w:val="20"/>
                <w:szCs w:val="20"/>
                <w:lang w:val="ru-RU" w:eastAsia="en-US" w:bidi="ar-SA"/>
              </w:rPr>
              <w:t>должность</w:t>
            </w:r>
          </w:p>
        </w:tc>
        <w:tc>
          <w:tcPr>
            <w:tcW w:w="327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0" w:after="0"/>
              <w:ind w:left="17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666666" w:themeShade="bf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color w:val="666666" w:themeShade="bf"/>
                <w:kern w:val="0"/>
                <w:sz w:val="20"/>
                <w:szCs w:val="20"/>
                <w:lang w:val="ru-RU" w:eastAsia="en-US" w:bidi="ar-SA"/>
              </w:rPr>
              <w:t>подпись, печать</w:t>
            </w:r>
          </w:p>
        </w:tc>
        <w:tc>
          <w:tcPr>
            <w:tcW w:w="329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rFonts w:ascii="Times New Roman" w:hAnsi="Times New Roman" w:eastAsia="Calibri" w:cs="Times New Roman"/>
                <w:color w:val="666666" w:themeShade="bf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color w:val="666666" w:themeShade="bf"/>
                <w:kern w:val="0"/>
                <w:sz w:val="20"/>
                <w:szCs w:val="20"/>
                <w:lang w:val="ru-RU" w:eastAsia="en-US" w:bidi="ar-SA"/>
              </w:rPr>
              <w:t>(расшифровка подписи)</w:t>
            </w:r>
          </w:p>
        </w:tc>
      </w:tr>
    </w:tbl>
    <w:p>
      <w:pPr>
        <w:pStyle w:val="Normal"/>
        <w:numPr>
          <w:ilvl w:val="0"/>
          <w:numId w:val="0"/>
        </w:numPr>
        <w:suppressAutoHyphens w:val="true"/>
        <w:spacing w:before="0" w:after="0"/>
        <w:ind w:left="720" w:hanging="0"/>
        <w:contextualSpacing/>
        <w:jc w:val="center"/>
        <w:rPr>
          <w:color w:val="BFBFBF" w:themeColor="background1" w:themeShade="bf"/>
          <w:kern w:val="2"/>
          <w:sz w:val="20"/>
          <w:szCs w:val="20"/>
        </w:rPr>
      </w:pPr>
      <w:r>
        <w:rPr>
          <w:color w:val="BFBFBF" w:themeColor="background1" w:themeShade="bf"/>
          <w:kern w:val="2"/>
          <w:sz w:val="20"/>
          <w:szCs w:val="20"/>
        </w:rPr>
      </w:r>
    </w:p>
    <w:p>
      <w:pPr>
        <w:pStyle w:val="Normal"/>
        <w:widowControl w:val="false"/>
        <w:numPr>
          <w:ilvl w:val="0"/>
          <w:numId w:val="0"/>
        </w:numPr>
        <w:ind w:left="72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1"/>
      </w:tblGrid>
      <w:tr>
        <w:trPr/>
        <w:tc>
          <w:tcPr>
            <w:tcW w:w="9921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формы</w:t>
            </w:r>
          </w:p>
        </w:tc>
      </w:tr>
    </w:tbl>
    <w:p>
      <w:pPr>
        <w:pStyle w:val="Normal"/>
        <w:widowControl w:val="false"/>
        <w:numPr>
          <w:ilvl w:val="0"/>
        </w:numPr>
        <w:tabs>
          <w:tab w:val="clear" w:pos="708"/>
          <w:tab w:val="left" w:pos="426" w:leader="none"/>
        </w:tabs>
        <w:ind w:left="6160" w:hanging="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ind w:left="5038" w:right="0" w:hanging="1069"/>
        <w:jc w:val="right"/>
        <w:rPr/>
      </w:pPr>
      <w:r>
        <w:rPr/>
      </w:r>
    </w:p>
    <w:p>
      <w:pPr>
        <w:pStyle w:val="Normal"/>
        <w:ind w:left="5038" w:right="0" w:hanging="1069"/>
        <w:jc w:val="right"/>
        <w:rPr/>
      </w:pPr>
      <w:r>
        <w:rPr/>
      </w:r>
    </w:p>
    <w:p>
      <w:pPr>
        <w:pStyle w:val="Normal"/>
        <w:ind w:left="5038" w:right="0" w:hanging="1069"/>
        <w:jc w:val="right"/>
        <w:rPr/>
      </w:pPr>
      <w:r>
        <w:rPr/>
      </w:r>
    </w:p>
    <w:p>
      <w:pPr>
        <w:pStyle w:val="Normal"/>
        <w:ind w:left="5038" w:right="0" w:hanging="1069"/>
        <w:jc w:val="right"/>
        <w:rPr/>
      </w:pPr>
      <w:r>
        <w:rPr/>
      </w:r>
    </w:p>
    <w:p>
      <w:pPr>
        <w:pStyle w:val="Normal"/>
        <w:ind w:left="5038" w:right="0" w:hanging="1069"/>
        <w:jc w:val="right"/>
        <w:rPr/>
      </w:pPr>
      <w:r>
        <w:rPr/>
      </w:r>
    </w:p>
    <w:p>
      <w:pPr>
        <w:pStyle w:val="Heading1"/>
        <w:numPr>
          <w:ilvl w:val="0"/>
          <w:numId w:val="0"/>
        </w:numPr>
        <w:spacing w:before="120" w:after="60"/>
        <w:ind w:left="3969" w:right="0" w:hanging="0"/>
        <w:jc w:val="right"/>
        <w:rPr/>
      </w:pPr>
      <w:r>
        <w:rPr/>
      </w:r>
      <w:bookmarkStart w:id="50" w:name="_Ref40301253_Копия_1"/>
      <w:bookmarkStart w:id="51" w:name="_Ref40301253_Копия_1"/>
      <w:bookmarkEnd w:id="51"/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0"/>
        <w:i w:val="false"/>
        <w:b/>
        <w:szCs w:val="20"/>
        <w:iCs w:val="false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57" w:hanging="504"/>
      </w:pPr>
      <w:rPr>
        <w:sz w:val="20"/>
        <w:i w:val="false"/>
        <w:szCs w:val="20"/>
        <w:i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5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"/>
      <w:lvlJc w:val="left"/>
      <w:pPr>
        <w:tabs>
          <w:tab w:val="num" w:pos="0"/>
        </w:tabs>
        <w:ind w:left="786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"/>
      <w:lvlJc w:val="left"/>
      <w:pPr>
        <w:tabs>
          <w:tab w:val="num" w:pos="0"/>
        </w:tabs>
        <w:ind w:left="786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  <w:rPr/>
    </w:lvl>
  </w:abstractNum>
  <w:abstractNum w:abstractNumId="13"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15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pPr>
      <w:numPr>
        <w:ilvl w:val="0"/>
        <w:numId w:val="3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numPr>
        <w:ilvl w:val="1"/>
        <w:numId w:val="3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>
    <w:name w:val="Default Paragraph Font"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">
    <w:name w:val="Заголовок 3 Знак"/>
    <w:qFormat/>
    <w:rPr>
      <w:rFonts w:eastAsia="Calibri"/>
      <w:b/>
      <w:sz w:val="24"/>
      <w:szCs w:val="24"/>
      <w:lang w:val="x-none" w:eastAsia="x-none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Style1">
    <w:name w:val="Название Знак"/>
    <w:link w:val="15"/>
    <w:qFormat/>
    <w:rPr>
      <w:sz w:val="28"/>
    </w:rPr>
  </w:style>
  <w:style w:type="character" w:styleId="Style2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1">
    <w:name w:val="Подпункт Знак1"/>
    <w:link w:val="Style22"/>
    <w:qFormat/>
    <w:rPr>
      <w:sz w:val="28"/>
    </w:rPr>
  </w:style>
  <w:style w:type="character" w:styleId="Style5">
    <w:name w:val="Текст сноски Знак"/>
    <w:qFormat/>
    <w:rPr/>
  </w:style>
  <w:style w:type="character" w:styleId="Style6">
    <w:name w:val="Основной текст Знак"/>
    <w:qFormat/>
    <w:rPr>
      <w:sz w:val="28"/>
      <w:szCs w:val="28"/>
    </w:rPr>
  </w:style>
  <w:style w:type="character" w:styleId="Blk">
    <w:name w:val="blk"/>
    <w:qFormat/>
    <w:rPr/>
  </w:style>
  <w:style w:type="character" w:styleId="Style7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Подподпункт Знак"/>
    <w:link w:val="Style30"/>
    <w:qFormat/>
    <w:rPr>
      <w:sz w:val="26"/>
      <w:szCs w:val="26"/>
    </w:rPr>
  </w:style>
  <w:style w:type="character" w:styleId="31">
    <w:name w:val="УРОВЕНЬ_Абзац_тип3 Знак"/>
    <w:link w:val="36"/>
    <w:qFormat/>
    <w:rPr>
      <w:rFonts w:eastAsia="Calibri"/>
      <w:sz w:val="26"/>
      <w:szCs w:val="28"/>
      <w:lang w:eastAsia="en-US"/>
    </w:rPr>
  </w:style>
  <w:style w:type="character" w:styleId="Style10">
    <w:name w:val="Верхний колонтитул Знак"/>
    <w:qFormat/>
    <w:rPr>
      <w:sz w:val="24"/>
      <w:szCs w:val="24"/>
    </w:rPr>
  </w:style>
  <w:style w:type="character" w:styleId="Style11">
    <w:name w:val="Текст примечания Знак"/>
    <w:link w:val="Annotationtext"/>
    <w:qFormat/>
    <w:rPr/>
  </w:style>
  <w:style w:type="character" w:styleId="Style12">
    <w:name w:val="Текст концевой сноски Знак"/>
    <w:basedOn w:val="DefaultParagraphFont"/>
    <w:qFormat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>
    <w:name w:val="Пункт2 Знак"/>
    <w:link w:val="24"/>
    <w:qFormat/>
    <w:rPr>
      <w:b/>
      <w:sz w:val="28"/>
    </w:rPr>
  </w:style>
  <w:style w:type="character" w:styleId="12">
    <w:name w:val="УРОВЕНЬ_1. Знак"/>
    <w:link w:val="19"/>
    <w:qFormat/>
    <w:rPr>
      <w:rFonts w:eastAsia="Calibri"/>
      <w:caps/>
      <w:sz w:val="28"/>
      <w:szCs w:val="28"/>
      <w:lang w:eastAsia="en-US"/>
    </w:rPr>
  </w:style>
  <w:style w:type="character" w:styleId="13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32">
    <w:name w:val="Основной текст с отступом 3 Знак"/>
    <w:link w:val="BodyTextIndent3"/>
    <w:qFormat/>
    <w:rPr>
      <w:sz w:val="16"/>
      <w:szCs w:val="16"/>
    </w:rPr>
  </w:style>
  <w:style w:type="character" w:styleId="ConsPlusNormal">
    <w:name w:val="ConsPlusNormal Знак"/>
    <w:link w:val="ConsPlusNormal1"/>
    <w:qFormat/>
    <w:rPr>
      <w:rFonts w:ascii="Arial" w:hAnsi="Arial" w:cs="Arial"/>
    </w:rPr>
  </w:style>
  <w:style w:type="character" w:styleId="LineNumber">
    <w:name w:val="Line Number"/>
    <w:rPr/>
  </w:style>
  <w:style w:type="character" w:styleId="Style14">
    <w:name w:val="Ссылка указателя"/>
    <w:qFormat/>
    <w:rPr/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19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>
    <w:name w:val="Подраздел раздела положения"/>
    <w:basedOn w:val="Normal"/>
    <w:autoRedefine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4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>
    <w:name w:val="Подпункт"/>
    <w:basedOn w:val="Normal"/>
    <w:link w:val="11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 w:eastAsia="x-none"/>
    </w:rPr>
  </w:style>
  <w:style w:type="paragraph" w:styleId="24">
    <w:name w:val="Пункт2"/>
    <w:basedOn w:val="Normal"/>
    <w:link w:val="22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pPr>
      <w:tabs>
        <w:tab w:val="clear" w:pos="708"/>
        <w:tab w:val="left" w:pos="1120" w:leader="none"/>
        <w:tab w:val="right" w:pos="9911" w:leader="dot"/>
      </w:tabs>
      <w:ind w:left="567" w:right="0" w:hanging="0"/>
    </w:pPr>
    <w:rPr>
      <w:rFonts w:cs="Calibri"/>
      <w:sz w:val="20"/>
      <w:szCs w:val="20"/>
    </w:rPr>
  </w:style>
  <w:style w:type="paragraph" w:styleId="Style23">
    <w:name w:val="Раздел регламента"/>
    <w:basedOn w:val="Normal"/>
    <w:qFormat/>
    <w:pPr/>
    <w:rPr/>
  </w:style>
  <w:style w:type="paragraph" w:styleId="Style24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6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ind w:left="560" w:right="0" w:hanging="0"/>
    </w:pPr>
    <w:rPr>
      <w:rFonts w:cs="Calibri"/>
      <w:sz w:val="20"/>
      <w:szCs w:val="20"/>
    </w:rPr>
  </w:style>
  <w:style w:type="paragraph" w:styleId="25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Style25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qFormat/>
    <w:pPr>
      <w:numPr>
        <w:ilvl w:val="0"/>
        <w:numId w:val="0"/>
      </w:num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26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>
    <w:name w:val="List Bullet 4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1">
    <w:name w:val="ConsPlusNormal"/>
    <w:link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>
    <w:name w:val="Подподпункт"/>
    <w:basedOn w:val="Style22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3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>
    <w:name w:val="УРОВЕНЬ_Абзац_тип3"/>
    <w:basedOn w:val="ListParagraph"/>
    <w:link w:val="31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>
    <w:name w:val="Стиль Заголовок 1 + по ширине"/>
    <w:basedOn w:val="Heading1"/>
    <w:qFormat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>
    <w:name w:val="Заголовок 2 КВВ"/>
    <w:basedOn w:val="Normal"/>
    <w:qFormat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9">
    <w:name w:val="УРОВЕНЬ_1."/>
    <w:basedOn w:val="ListParagraph"/>
    <w:link w:val="12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Formattext">
    <w:name w:val="formattext"/>
    <w:basedOn w:val="Normal"/>
    <w:qFormat/>
    <w:pPr>
      <w:spacing w:before="280" w:after="280"/>
    </w:pPr>
    <w:rPr>
      <w:sz w:val="24"/>
      <w:szCs w:val="24"/>
    </w:rPr>
  </w:style>
  <w:style w:type="paragraph" w:styleId="Style34">
    <w:name w:val="Содержимое врезки"/>
    <w:basedOn w:val="Normal"/>
    <w:qFormat/>
    <w:pPr/>
    <w:rPr/>
  </w:style>
  <w:style w:type="paragraph" w:styleId="Dt-p">
    <w:name w:val="dt-p"/>
    <w:basedOn w:val="Normal"/>
    <w:qFormat/>
    <w:pPr>
      <w:spacing w:before="280" w:after="280"/>
    </w:pPr>
    <w:rPr>
      <w:sz w:val="24"/>
      <w:szCs w:val="24"/>
    </w:rPr>
  </w:style>
  <w:style w:type="paragraph" w:styleId="ConsPlusNonformat">
    <w:name w:val="ConsPlusNonformat"/>
    <w:basedOn w:val="Normal"/>
    <w:qFormat/>
    <w:pPr/>
    <w:rPr>
      <w:rFonts w:ascii="Courier New" w:hAnsi="Courier New" w:eastAsia="Calibri" w:cs="Courier New"/>
      <w:sz w:val="20"/>
      <w:szCs w:val="20"/>
    </w:rPr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110">
    <w:name w:val="Стиль1"/>
    <w:qFormat/>
  </w:style>
  <w:style w:type="numbering" w:styleId="29">
    <w:name w:val="Стиль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zlovaES@lhp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Application>AlterOffice/2025.3.0.0$Linux_X86_64 LibreOffice_project/4ba31b6a4271509a884f95065d0a726e9cb2bdbb</Application>
  <AppVersion>15.0000</AppVersion>
  <Pages>16</Pages>
  <Words>3717</Words>
  <Characters>26533</Characters>
  <CharactersWithSpaces>29680</CharactersWithSpaces>
  <Paragraphs>541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2026-06-01T08:09:00Z</dcterms:created>
  <dc:creator>Быстров Олег Геннадьевич</dc:creator>
  <dc:description/>
  <dc:language>ru-RU</dc:language>
  <cp:lastModifiedBy>kozlovaes</cp:lastModifiedBy>
  <cp:lastPrinted>2026-06-17T16:21:17Z</cp:lastPrinted>
  <dcterms:modified xsi:type="dcterms:W3CDTF">2026-06-18T11:18:46Z</dcterms:modified>
  <cp:revision>38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