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6180" w:right="0" w:hanging="0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Инициатор договора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Руководитель Владивостокского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представительства 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«___» _______________ 2026 год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ОКПД2 85.42.19 Оказание платных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276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 xml:space="preserve">Лот № </w:t>
      </w:r>
      <w:r>
        <w:rPr>
          <w:rFonts w:eastAsia="Calibri"/>
          <w:b/>
          <w:i w:val="false"/>
          <w:iCs w:val="false"/>
          <w:sz w:val="24"/>
          <w:szCs w:val="24"/>
        </w:rPr>
        <w:t>8117</w:t>
      </w:r>
      <w:r>
        <w:rPr>
          <w:rFonts w:eastAsia="Calibri"/>
          <w:b/>
          <w:i w:val="false"/>
          <w:iCs w:val="false"/>
          <w:sz w:val="24"/>
          <w:szCs w:val="24"/>
        </w:rPr>
        <w:t>-ЭКСП ПРОД-202</w:t>
      </w:r>
      <w:r>
        <w:rPr>
          <w:rFonts w:eastAsia="Calibri"/>
          <w:b/>
          <w:i w:val="false"/>
          <w:iCs w:val="false"/>
          <w:sz w:val="24"/>
          <w:szCs w:val="24"/>
        </w:rPr>
        <w:t>7</w:t>
      </w:r>
      <w:r>
        <w:rPr>
          <w:rFonts w:eastAsia="Calibri"/>
          <w:b/>
          <w:i w:val="false"/>
          <w:iCs w:val="false"/>
          <w:sz w:val="24"/>
          <w:szCs w:val="24"/>
        </w:rPr>
        <w:t>-Влад ТК РусГидро АО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69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sz w:val="24"/>
              <w:szCs w:val="24"/>
              <w:vanish w:val="false"/>
            </w:rPr>
            <w:fldChar w:fldCharType="separate"/>
          </w:r>
          <w:hyperlink w:anchor="_Toc162698174">
            <w:r>
              <w:rPr>
                <w:webHidden/>
                <w:rStyle w:val="Style15"/>
                <w:vanish w:val="false"/>
                <w:sz w:val="24"/>
                <w:szCs w:val="24"/>
              </w:rPr>
              <w:t>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5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69" w:leader="dot"/>
            </w:tabs>
            <w:rPr/>
          </w:pPr>
          <w:hyperlink w:anchor="_Toc162698175">
            <w:r>
              <w:rPr>
                <w:webHidden/>
                <w:rStyle w:val="Style15"/>
                <w:vanish w:val="false"/>
                <w:sz w:val="24"/>
                <w:szCs w:val="24"/>
              </w:rPr>
              <w:t>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5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69" w:leader="dot"/>
            </w:tabs>
            <w:rPr/>
          </w:pPr>
          <w:hyperlink w:anchor="_Toc162698176">
            <w:r>
              <w:rPr>
                <w:webHidden/>
                <w:rStyle w:val="Style15"/>
                <w:vanish w:val="false"/>
                <w:sz w:val="24"/>
                <w:szCs w:val="24"/>
              </w:rPr>
              <w:t>1.2.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5"/>
                <w:sz w:val="24"/>
                <w:szCs w:val="2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69" w:leader="dot"/>
            </w:tabs>
            <w:rPr/>
          </w:pPr>
          <w:hyperlink w:anchor="_Toc162698177">
            <w:r>
              <w:rPr>
                <w:webHidden/>
                <w:rStyle w:val="Style15"/>
                <w:vanish w:val="false"/>
                <w:sz w:val="24"/>
                <w:szCs w:val="24"/>
              </w:rPr>
              <w:t>1.3.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5"/>
                <w:sz w:val="24"/>
                <w:szCs w:val="2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/>
          </w:pPr>
          <w:hyperlink w:anchor="_Toc1626981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  <w:sz w:val="24"/>
                <w:szCs w:val="24"/>
              </w:rPr>
              <w:t>2. 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769" w:leader="dot"/>
            </w:tabs>
            <w:rPr/>
          </w:pPr>
          <w:hyperlink w:anchor="_Toc1626981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  <w:sz w:val="24"/>
                <w:szCs w:val="24"/>
              </w:rPr>
              <w:t>2.1. 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69" w:leader="dot"/>
            </w:tabs>
            <w:rPr/>
          </w:pPr>
          <w:hyperlink w:anchor="_Toc1626981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  <w:sz w:val="24"/>
                <w:szCs w:val="24"/>
              </w:rPr>
              <w:t>2.1.1.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/>
          </w:pPr>
          <w:hyperlink w:anchor="_Toc1626981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69" w:leader="dot"/>
            </w:tabs>
            <w:rPr/>
          </w:pPr>
          <w:hyperlink w:anchor="_Toc162698182">
            <w:r>
              <w:rPr>
                <w:webHidden/>
                <w:rStyle w:val="Style15"/>
                <w:vanish w:val="false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769" w:leader="dot"/>
            </w:tabs>
            <w:rPr/>
          </w:pPr>
          <w:hyperlink w:anchor="_Toc162698183"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 2.1 Требования по срокам поставки продукции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4"/>
              <w:szCs w:val="24"/>
            </w:rPr>
            <w:t>4</w:t>
          </w:r>
        </w:p>
        <w:p>
          <w:pPr>
            <w:pStyle w:val="TOC4"/>
            <w:tabs>
              <w:tab w:val="clear" w:pos="708"/>
              <w:tab w:val="right" w:pos="9769" w:leader="dot"/>
            </w:tabs>
            <w:rPr/>
          </w:pPr>
          <w:hyperlink w:anchor="_Toc1626981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_Toc162698184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  <w:sz w:val="24"/>
                <w:szCs w:val="24"/>
              </w:rPr>
              <w:t>2.2. Требования к качеству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69" w:leader="dot"/>
            </w:tabs>
            <w:rPr/>
          </w:pPr>
          <w:hyperlink w:anchor="_Toc162698185"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 3. Требования к продукции</w:t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769" w:leader="dot"/>
            </w:tabs>
            <w:rPr/>
          </w:pPr>
          <w:hyperlink w:anchor="_Toc162698187">
            <w:r>
              <w:rPr>
                <w:webHidden/>
                <w:rStyle w:val="Style15"/>
                <w:vanish w:val="false"/>
                <w:sz w:val="24"/>
                <w:szCs w:val="24"/>
                <w:shd w:fill="auto" w:val="clear"/>
              </w:rPr>
              <w:t>3.Требования к документации по ценообразования на этапе закупки</w:t>
            </w:r>
            <w:r>
              <w:rPr>
                <w:rStyle w:val="Style15"/>
                <w:vanish w:val="false"/>
                <w:sz w:val="24"/>
                <w:szCs w:val="24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4"/>
              <w:szCs w:val="24"/>
            </w:rPr>
            <w:t>7</w:t>
          </w:r>
          <w:r>
            <w:rPr>
              <w:sz w:val="24"/>
              <w:b w:val="false"/>
              <w:szCs w:val="24"/>
              <w:bCs w:val="false"/>
              <w:vanish w:val="false"/>
              <w:rFonts w:eastAsia="" w:cs="" w:ascii="Calibri" w:hAnsi="Calibri"/>
            </w:rPr>
            <w:fldChar w:fldCharType="end"/>
          </w:r>
        </w:p>
      </w:sdtContent>
    </w:sdt>
    <w:p>
      <w:pPr>
        <w:pStyle w:val="Heading2"/>
        <w:numPr>
          <w:ilvl w:val="1"/>
        </w:numPr>
        <w:tabs>
          <w:tab w:val="clear" w:pos="708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widowControl/>
        <w:numPr>
          <w:ilvl w:val="0"/>
          <w:numId w:val="6"/>
        </w:numPr>
        <w:suppressAutoHyphens w:val="true"/>
        <w:bidi w:val="0"/>
        <w:spacing w:lineRule="auto" w:line="360" w:before="0" w:after="0"/>
        <w:ind w:left="0" w:right="0" w:firstLine="624"/>
        <w:jc w:val="both"/>
        <w:rPr>
          <w:sz w:val="24"/>
          <w:szCs w:val="24"/>
        </w:rPr>
      </w:pPr>
      <w:bookmarkStart w:id="0" w:name="_Toc51339692"/>
      <w:bookmarkStart w:id="1" w:name="_Toc16269817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widowControl/>
        <w:numPr>
          <w:ilvl w:val="1"/>
          <w:numId w:val="6"/>
        </w:numPr>
        <w:suppressAutoHyphens w:val="true"/>
        <w:bidi w:val="0"/>
        <w:spacing w:lineRule="auto" w:line="360" w:before="0" w:after="0"/>
        <w:ind w:left="0" w:right="0" w:firstLine="624"/>
        <w:jc w:val="both"/>
        <w:rPr>
          <w:sz w:val="24"/>
          <w:szCs w:val="24"/>
        </w:rPr>
      </w:pPr>
      <w:bookmarkStart w:id="2" w:name="_Toc46743506"/>
      <w:bookmarkStart w:id="3" w:name="_Toc162698175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Heading4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firstLine="624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ОКПД2 85.42.19 Оказание платных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"ТК РусГидро"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624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4"/>
          <w:szCs w:val="24"/>
          <w:lang w:val="ru-RU" w:eastAsia="ru-RU" w:bidi="ar-SA"/>
        </w:rPr>
      </w:r>
    </w:p>
    <w:p>
      <w:pPr>
        <w:pStyle w:val="Heading4"/>
        <w:keepNext w:val="true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>
          <w:sz w:val="24"/>
          <w:szCs w:val="24"/>
        </w:rPr>
      </w:pPr>
      <w:bookmarkStart w:id="4" w:name="_Toc46743507"/>
      <w:bookmarkStart w:id="5" w:name="_Toc162698176"/>
      <w:r>
        <w:rPr>
          <w:sz w:val="24"/>
          <w:szCs w:val="24"/>
        </w:rPr>
        <w:t xml:space="preserve">Цель </w:t>
      </w:r>
      <w:bookmarkEnd w:id="4"/>
      <w:bookmarkEnd w:id="5"/>
      <w:r>
        <w:rPr>
          <w:sz w:val="24"/>
          <w:szCs w:val="24"/>
        </w:rPr>
        <w:t>оказания услуги</w:t>
      </w:r>
    </w:p>
    <w:p>
      <w:pPr>
        <w:pStyle w:val="ListParagraph"/>
        <w:widowControl/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>
          <w:sz w:val="24"/>
          <w:szCs w:val="24"/>
        </w:rPr>
      </w:pPr>
      <w:bookmarkStart w:id="6" w:name="_Toc50125126"/>
      <w:bookmarkStart w:id="7" w:name="_Toc46743510"/>
      <w:bookmarkEnd w:id="6"/>
      <w:bookmarkEnd w:id="7"/>
      <w:r>
        <w:rPr>
          <w:bCs/>
          <w:sz w:val="24"/>
          <w:szCs w:val="24"/>
        </w:rPr>
        <w:t>Целями оказания услуг являются: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подготовка руководителей, специалистов и рабочих основных профессий в области охраны труда, первой доврачебной помощи, о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бучение по программе «Обеспечение экологической безопасности при работах в области обращения с опасными отходами I-IV класса», </w:t>
      </w:r>
      <w:r>
        <w:rPr>
          <w:bCs/>
          <w:sz w:val="24"/>
          <w:szCs w:val="24"/>
        </w:rPr>
        <w:t xml:space="preserve">промышленной безопасности; 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повышение квалификации по пожарной безопасности для лиц, на которых возложена трудовая функция по проведению противопожарного инструктажа;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подготовка электротехнического и электротехнологического персонала на II группу допуска по электробезопасности;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профессиональная переподготовка по программе «Специалист, ответственный за обеспечение БДД»; 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профессиональная переподготовка по программе «Контролер технического состояния автотранспортных средств (механик по выпуску автотранспорта)»;</w:t>
      </w:r>
    </w:p>
    <w:p>
      <w:pPr>
        <w:pStyle w:val="ListParagraph"/>
        <w:widowControl/>
        <w:numPr>
          <w:ilvl w:val="0"/>
          <w:numId w:val="7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обучение руководителей организаций в области гражданской обороны и защиты от чрезвычайных ситуаций   по учебным программам, утвержденным надзорными службами в форме: очная, очно - заочная, дистанционная, в соответствии с требованиями действующего законодательства РФ.</w:t>
      </w:r>
    </w:p>
    <w:p>
      <w:pPr>
        <w:pStyle w:val="ListParagraph"/>
        <w:spacing w:lineRule="auto" w:line="360"/>
        <w:ind w:left="709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13" w:right="0"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13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Обучение работников структурных подразделений в очной форме проводится в г. Владивостоке, либо в г. Хабаровске. При обучении в дистанционном (заочном) формате, работники проходят обучение со своих рабочих мест, территориально расположенных в Амурской, Сахалинской областях, Приморском и Хабаровском краях.</w:t>
      </w:r>
    </w:p>
    <w:p>
      <w:pPr>
        <w:pStyle w:val="Normal"/>
        <w:widowControl/>
        <w:suppressAutoHyphens w:val="true"/>
        <w:bidi w:val="0"/>
        <w:spacing w:before="0" w:after="0"/>
        <w:ind w:left="113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№1. Перечень объектов заказчика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2144"/>
        <w:gridCol w:w="2828"/>
        <w:gridCol w:w="1607"/>
        <w:gridCol w:w="2161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 оказания объекта)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(в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отношении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которого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оказываются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ОКПД2 85.42.19 Оказание платных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"ТК РусГидро"</w:t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оказываются по месту нахождения Исполнителя с использованием дистанционных образовательных технологий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</w:t>
            </w:r>
            <w:r>
              <w:rPr>
                <w:sz w:val="24"/>
                <w:szCs w:val="24"/>
              </w:rPr>
              <w:t>чный формат</w:t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</w:t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Дистанционный,</w:t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очно-заочный</w:t>
            </w:r>
          </w:p>
          <w:p>
            <w:pPr>
              <w:pStyle w:val="Style38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обучения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2. Требования к продукции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2.1. Требования к объемам и срокам оказания услуг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2.1.1. Требования к перечню и объему услуг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22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2. Перечень и объем оказываемых услуг</w:t>
      </w:r>
    </w:p>
    <w:p>
      <w:pPr>
        <w:pStyle w:val="Heading1"/>
        <w:ind w:left="142" w:hanging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"/>
        <w:gridCol w:w="3476"/>
        <w:gridCol w:w="3471"/>
        <w:gridCol w:w="1987"/>
      </w:tblGrid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«А» по охране труда (по общим вопросам охраны труда и функционирования системы управления охраной труда)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«Б» по охране труда («Безопасность для рабочих профессий», «Безопасные методы и приёмы выполнения работ»)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 повышения квалификации по курсу «Обучение по оказанию первой помощи пострадавшим»)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 «В» по охране труда (обучение безопасным методам и приёмам выполнения работ повышенной опасности)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по использованию средств индивидуальной защиты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«Обеспечение экологической безопасности при работах в области обращения с опасными отходами I-IV класса»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«Дополнительная профессиональная программа повышения квалификации для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«Подготовка электротехнического и электротехнологического персонала на II группу допуска по электробезопасности (первично/повторно)»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«Специалист, ответственный за безопасность дорожного движения  (дополнительное профессиональное образование)»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работников в соответствии с  программой «Контролер технического состояния автотранспортных средств (механик по выпуску автотранспорта) (дополнительное профессиональное образование)»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обучению руководителей организации  в области гражданской обороны и защиты от чрезвычайных ситуаций (за исключением должностных лиц, перечень которых указан в постановлении Правительства РФ от 18 сентября 2020 года No1485)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Normal"/>
        <w:ind w:left="142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</w:p>
    <w:p>
      <w:pPr>
        <w:pStyle w:val="Normal"/>
        <w:rPr>
          <w:i/>
          <w:i/>
          <w:iCs/>
          <w:sz w:val="24"/>
          <w:szCs w:val="24"/>
          <w:lang w:eastAsia="en-US"/>
        </w:rPr>
      </w:pPr>
      <w:r>
        <w:rPr>
          <w:i/>
          <w:iCs/>
          <w:sz w:val="24"/>
          <w:szCs w:val="24"/>
          <w:lang w:eastAsia="en-US"/>
        </w:rPr>
      </w:r>
    </w:p>
    <w:p>
      <w:pPr>
        <w:pStyle w:val="BodyText"/>
        <w:rPr>
          <w:i/>
          <w:i/>
          <w:iCs/>
          <w:sz w:val="24"/>
          <w:szCs w:val="24"/>
        </w:rPr>
      </w:pPr>
      <w:bookmarkStart w:id="8" w:name="__RefHeading___Toc5481_3158630832"/>
      <w:bookmarkStart w:id="9" w:name="_Toc151719584"/>
      <w:bookmarkStart w:id="10" w:name="_Toc207898753"/>
      <w:bookmarkStart w:id="11" w:name="_Toc208930550"/>
      <w:bookmarkStart w:id="12" w:name="_Toc152142174"/>
      <w:bookmarkEnd w:id="8"/>
      <w:bookmarkEnd w:id="9"/>
      <w:bookmarkEnd w:id="10"/>
      <w:bookmarkEnd w:id="11"/>
      <w:bookmarkEnd w:id="12"/>
      <w:r>
        <w:rPr>
          <w:i/>
          <w:iCs/>
          <w:sz w:val="24"/>
          <w:szCs w:val="24"/>
          <w:lang w:eastAsia="x-none"/>
        </w:rPr>
        <w:t>* Объем услуг является ориентировочным и Заказчик не несет ответственность за неполную выборку услуг на общую сумму договора. </w:t>
      </w:r>
    </w:p>
    <w:p>
      <w:pPr>
        <w:pStyle w:val="Heading4"/>
        <w:numPr>
          <w:ilvl w:val="1"/>
        </w:numPr>
        <w:ind w:left="432"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widowControl/>
        <w:numPr>
          <w:ilvl w:val="1"/>
        </w:numPr>
        <w:suppressAutoHyphens w:val="true"/>
        <w:bidi w:val="0"/>
        <w:spacing w:before="0" w:after="0"/>
        <w:ind w:left="113" w:right="0" w:firstLine="397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val="x-none" w:eastAsia="x-none"/>
        </w:rPr>
        <w:t>2.1.2. Требования к срокам оказания услуг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b/>
          <w:bCs/>
          <w:sz w:val="24"/>
          <w:szCs w:val="24"/>
          <w:lang w:val="x-none" w:eastAsia="x-none"/>
        </w:rPr>
        <w:t>Таблица 3. Требования к срокам оказания услуг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0"/>
        <w:gridCol w:w="4698"/>
        <w:gridCol w:w="1626"/>
        <w:gridCol w:w="2355"/>
      </w:tblGrid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срока оказания услуг/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этапа услуг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окончанию срока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услуг / этапа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</w:t>
            </w:r>
          </w:p>
        </w:tc>
      </w:tr>
      <w:tr>
        <w:trPr/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ОКПД2 85.42.19 Оказание платных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</w:p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9</w:t>
            </w:r>
          </w:p>
        </w:tc>
      </w:tr>
    </w:tbl>
    <w:p>
      <w:pPr>
        <w:pStyle w:val="Normal"/>
        <w:ind w:left="142" w:hanging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                                                    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276" w:right="1210" w:gutter="0" w:header="0" w:top="680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ind w:left="142" w:hanging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  <w:bookmarkStart w:id="13" w:name="_Toc162698182"/>
      <w:bookmarkStart w:id="14" w:name="_Hlk50465284"/>
      <w:bookmarkStart w:id="15" w:name="_Toc50125126_Копия_1"/>
      <w:bookmarkStart w:id="16" w:name="_Toc162698183"/>
      <w:bookmarkStart w:id="17" w:name="_Toc50125127"/>
      <w:bookmarkStart w:id="18" w:name="_Toc51339697"/>
      <w:bookmarkStart w:id="19" w:name="_Toc162698182"/>
      <w:bookmarkStart w:id="20" w:name="_Hlk50465284"/>
      <w:bookmarkStart w:id="21" w:name="_Toc50125126_Копия_1"/>
      <w:bookmarkStart w:id="22" w:name="_Toc162698183"/>
      <w:bookmarkStart w:id="23" w:name="_Toc50125127"/>
      <w:bookmarkStart w:id="24" w:name="_Toc51339697"/>
      <w:bookmarkEnd w:id="19"/>
      <w:bookmarkEnd w:id="20"/>
      <w:bookmarkEnd w:id="21"/>
      <w:bookmarkEnd w:id="22"/>
      <w:bookmarkEnd w:id="23"/>
      <w:bookmarkEnd w:id="24"/>
    </w:p>
    <w:p>
      <w:pPr>
        <w:pStyle w:val="Heading4"/>
        <w:keepNext w:val="true"/>
        <w:widowControl/>
        <w:numPr>
          <w:ilvl w:val="1"/>
        </w:numPr>
        <w:suppressAutoHyphens w:val="true"/>
        <w:bidi w:val="0"/>
        <w:spacing w:before="0" w:after="0"/>
        <w:ind w:left="0" w:right="0" w:firstLine="510"/>
        <w:jc w:val="both"/>
        <w:rPr>
          <w:sz w:val="24"/>
          <w:szCs w:val="24"/>
        </w:rPr>
      </w:pPr>
      <w:bookmarkStart w:id="25" w:name="_Toc162698182"/>
      <w:bookmarkStart w:id="26" w:name="_Hlk50465284"/>
      <w:bookmarkStart w:id="27" w:name="_Toc50125126_Копия_1"/>
      <w:bookmarkStart w:id="28" w:name="_Toc162698183"/>
      <w:bookmarkStart w:id="29" w:name="_Toc50125127"/>
      <w:bookmarkStart w:id="30" w:name="_Toc51339697"/>
      <w:bookmarkStart w:id="31" w:name="_Toc51339698"/>
      <w:bookmarkStart w:id="32" w:name="_Toc162698184"/>
      <w:bookmarkStart w:id="33" w:name="_Toc46743511"/>
      <w:bookmarkStart w:id="34" w:name="_Toc162698182_Копия_1_Копия_1"/>
      <w:bookmarkStart w:id="35" w:name="_Hlk50465284_Копия_1_Копия_1"/>
      <w:bookmarkStart w:id="36" w:name="_Toc50125126_Копия_1_Копия_1_Копия_1"/>
      <w:bookmarkStart w:id="37" w:name="_Toc162698183_Копия_1_Копия_1"/>
      <w:bookmarkStart w:id="38" w:name="_Toc50125127_Копия_1_Копия_1"/>
      <w:bookmarkStart w:id="39" w:name="_Toc51339697_Копия_1_Копия_1"/>
      <w:bookmarkStart w:id="40" w:name="_Toc162698182_Копия_1_Копия_1_Копия_1"/>
      <w:bookmarkStart w:id="41" w:name="_Hlk50465284_Копия_1_Копия_1_Копия_1"/>
      <w:bookmarkStart w:id="42" w:name="_Toc50125126_Копия_1_Копия_1_Копия_1_Коп"/>
      <w:bookmarkStart w:id="43" w:name="_Toc162698183_Копия_1_Копия_1_Копия_1"/>
      <w:bookmarkStart w:id="44" w:name="_Toc50125127_Копия_1_Копия_1_Копия_1"/>
      <w:bookmarkStart w:id="45" w:name="_Toc51339697_Копия_1_Копия_1_Копия_1"/>
      <w:bookmarkStart w:id="46" w:name="_Toc50125126_Копия_1_Копия_1_Копия_1_Коп"/>
      <w:bookmarkStart w:id="47" w:name="_Toc162698183_Копия_1_Копия_1_Копия_1_Ко"/>
      <w:bookmarkStart w:id="48" w:name="_Toc50125127_Копия_1_Копия_1_Копия_1_Коп"/>
      <w:bookmarkStart w:id="49" w:name="_Toc51339697_Копия_1_Копия_1_Копия_1_Коп"/>
      <w:bookmarkStart w:id="50" w:name="_Toc50125127_Копия_1_Копия_1_Копия_1_Коп"/>
      <w:bookmarkStart w:id="51" w:name="_Toc50125126_Копия_1_Копия_1_Копия_1_Коп"/>
      <w:bookmarkStart w:id="52" w:name="_Toc162698183_Копия_1_Копия_1_Копия_1_Ко"/>
      <w:bookmarkStart w:id="53" w:name="_Toc162698182_Копия_1_Копия_1_Копия_1_Ко"/>
      <w:bookmarkStart w:id="54" w:name="_Toc50125127_Копия_1_Копия_1_Копия_1_Коп"/>
      <w:bookmarkStart w:id="55" w:name="_Toc162698183_Копия_1_Копия_1_Копия_1_Ко"/>
      <w:bookmarkStart w:id="56" w:name="_Toc51339697_Копия_1_Копия_1_Копия_1_Коп"/>
      <w:bookmarkStart w:id="57" w:name="_Toc162698183_Копия_1_Копия_1_Копия_1_Ко"/>
      <w:bookmarkStart w:id="58" w:name="_Toc50125126_Копия_1_Копия_1_Копия_1_Коп"/>
      <w:bookmarkStart w:id="59" w:name="_Toc50125127_Копия_1_Копия_1_Копия_1_Коп"/>
      <w:bookmarkStart w:id="60" w:name="_Hlk50465284_Копия_1_Копия_1_Копия_1_Коп"/>
      <w:bookmarkStart w:id="61" w:name="_Toc50125126_Копия_1_Копия_1_Копия_1_Коп"/>
      <w:bookmarkStart w:id="62" w:name="_Toc50125127_Копия_1_Копия_1_Копия_1_Коп"/>
      <w:bookmarkStart w:id="63" w:name="_Toc162698183_Копия_1"/>
      <w:bookmarkStart w:id="64" w:name="_Toc50125126_Копия_1_Копия_1"/>
      <w:bookmarkStart w:id="65" w:name="_Hlk50465284_Копия_1_Копия_1_Копия_1_Коп"/>
      <w:bookmarkStart w:id="66" w:name="_Toc51339697_Копия_1_Копия_1_Копия_1_Коп"/>
      <w:bookmarkStart w:id="67" w:name="_Toc162698182_Копия_1_Копия_1_Копия_1_Ко"/>
      <w:bookmarkStart w:id="68" w:name="_Hlk50465284_Копия_1_Копия_1_Копия_1_Коп"/>
      <w:bookmarkStart w:id="69" w:name="_Toc51339697_Копия_1"/>
      <w:bookmarkStart w:id="70" w:name="_Toc162698182_Копия_1_Копия_1_Копия_1_Ко"/>
      <w:bookmarkStart w:id="71" w:name="_Hlk50465284_Копия_1_Копия_1_Копия_1_Коп"/>
      <w:bookmarkStart w:id="72" w:name="_Toc162698182_Копия_1_Копия_1_Копия_1_Ко"/>
      <w:bookmarkStart w:id="73" w:name="_Toc51339697_Копия_1_Копия_1_Копия_1_Коп"/>
      <w:bookmarkStart w:id="74" w:name="_Hlk50465284_Копия_1_Копия_1_Копия_1_Коп"/>
      <w:bookmarkStart w:id="75" w:name="_Toc162698183_Копия_1_Копия_1_Копия_1_Ко"/>
      <w:bookmarkStart w:id="76" w:name="_Toc50125126_Копия_1_Копия_1_Копия_1_Коп"/>
      <w:bookmarkStart w:id="77" w:name="_Hlk50465284_Копия_1"/>
      <w:bookmarkStart w:id="78" w:name="_Toc51339697_Копия_1_Копия_1_Копия_1_Коп"/>
      <w:bookmarkStart w:id="79" w:name="_Toc50125127_Копия_1"/>
      <w:bookmarkStart w:id="80" w:name="_Toc162698182_Копия_1"/>
      <w:bookmarkStart w:id="81" w:name="_Toc162698182_Копия_1_Копия_1_Копия_1_Ко"/>
      <w:bookmarkStart w:id="82" w:name="_Toc162698182_Копия_1_Копия_1_Копия_1"/>
      <w:bookmarkStart w:id="83" w:name="_Hlk50465284_Копия_1_Копия_1_Копия_1"/>
      <w:bookmarkStart w:id="84" w:name="_Toc50125126_Копия_1_Копия_1_Копия_1_Коп"/>
      <w:bookmarkStart w:id="85" w:name="_Toc162698183_Копия_1_Копия_1_Копия_1"/>
      <w:bookmarkStart w:id="86" w:name="_Toc50125127_Копия_1_Копия_1_Копия_1"/>
      <w:bookmarkStart w:id="87" w:name="_Toc51339697_Копия_1_Копия_1_Копия_1"/>
      <w:bookmarkStart w:id="88" w:name="_Toc162698182_Копия_1_Копия_1"/>
      <w:bookmarkStart w:id="89" w:name="_Hlk50465284_Копия_1_Копия_1"/>
      <w:bookmarkStart w:id="90" w:name="_Toc50125126_Копия_1_Копия_1_Копия_1"/>
      <w:bookmarkStart w:id="91" w:name="_Toc162698183_Копия_1_Копия_1"/>
      <w:bookmarkStart w:id="92" w:name="_Toc50125127_Копия_1_Копия_1"/>
      <w:bookmarkStart w:id="93" w:name="_Toc51339697_Копия_1_Копия_1"/>
      <w:bookmarkStart w:id="94" w:name="_Toc162698182_Копия_1"/>
      <w:bookmarkStart w:id="95" w:name="_Hlk50465284_Копия_1"/>
      <w:bookmarkStart w:id="96" w:name="_Toc50125126_Копия_1_Копия_1"/>
      <w:bookmarkStart w:id="97" w:name="_Toc162698183_Копия_1"/>
      <w:bookmarkStart w:id="98" w:name="_Toc50125127_Копия_1"/>
      <w:bookmarkStart w:id="99" w:name="_Toc51339697_Копия_1"/>
      <w:bookmarkEnd w:id="25"/>
      <w:bookmarkEnd w:id="26"/>
      <w:bookmarkEnd w:id="27"/>
      <w:bookmarkEnd w:id="28"/>
      <w:bookmarkEnd w:id="29"/>
      <w:bookmarkEnd w:id="3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rPr>
          <w:sz w:val="24"/>
          <w:szCs w:val="24"/>
        </w:rPr>
        <w:t xml:space="preserve">2.2. Требования к </w:t>
      </w:r>
      <w:bookmarkEnd w:id="33"/>
      <w:r>
        <w:rPr>
          <w:sz w:val="24"/>
          <w:szCs w:val="24"/>
        </w:rPr>
        <w:t>качеству продукции</w:t>
      </w:r>
      <w:bookmarkEnd w:id="32"/>
    </w:p>
    <w:p>
      <w:pPr>
        <w:pStyle w:val="Heading1"/>
        <w:keepNext w:val="true"/>
        <w:widowControl/>
        <w:suppressAutoHyphens w:val="true"/>
        <w:bidi w:val="0"/>
        <w:spacing w:before="0" w:after="0"/>
        <w:ind w:left="-113" w:right="0" w:firstLine="340"/>
        <w:jc w:val="left"/>
        <w:rPr>
          <w:sz w:val="24"/>
          <w:szCs w:val="24"/>
        </w:rPr>
      </w:pPr>
      <w:bookmarkStart w:id="100" w:name="_Toc162698185"/>
      <w:r>
        <w:rPr>
          <w:sz w:val="24"/>
          <w:szCs w:val="24"/>
        </w:rPr>
        <w:t>Таблица 4. Требования к продукции</w:t>
      </w:r>
      <w:bookmarkEnd w:id="100"/>
      <w:r>
        <w:rPr>
          <w:sz w:val="24"/>
          <w:szCs w:val="24"/>
        </w:rPr>
        <w:t xml:space="preserve"> </w:t>
      </w:r>
      <w:bookmarkEnd w:id="31"/>
    </w:p>
    <w:p>
      <w:pPr>
        <w:pStyle w:val="Heading1"/>
        <w:widowControl/>
        <w:suppressAutoHyphens w:val="true"/>
        <w:bidi w:val="0"/>
        <w:spacing w:before="0" w:after="0"/>
        <w:ind w:left="-113" w:right="0" w:firstLine="3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Наименование услуг/этапа услуг: ОКПД2 85.42.19 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>Оказание платных образовательных услуг на территориях Хабаровского, Приморского краев, Амурской, Сахалинской областей для нужд  Владивостокского представительства АО «ТК РусГидро»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-113" w:right="0" w:firstLine="34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"/>
        <w:tblW w:w="150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2"/>
        <w:gridCol w:w="1923"/>
        <w:gridCol w:w="6125"/>
        <w:gridCol w:w="3557"/>
        <w:gridCol w:w="2513"/>
      </w:tblGrid>
      <w:tr>
        <w:trPr/>
        <w:tc>
          <w:tcPr>
            <w:tcW w:w="9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2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0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1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1411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1.1.2</w:t>
            </w:r>
          </w:p>
        </w:tc>
        <w:tc>
          <w:tcPr>
            <w:tcW w:w="80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Услуги должны быть оказаны в соответствии со следующими НПА: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Федерального закона от 29.12.2012 N 273- ФЗ «Об образовании в Российской Федерации».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Минпросвещения России от 14.07.2023 N 534  "Об утверждении Перечня профессий рабочих, должностей служащих, по которым осуществляется профессиональное обучение".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Постановления Правительства РФ от 24.12.2021 № 2464 «О порядке обучения по охране труда и проверки знания требований охраны труда».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Федерального закона РФ от 10.01.2002 № 7-ФЗ «Об охране окружающей среды».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Федерального закона от 24.06.1998 № 89-ФЗ «Об отходах производства и потребления».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МПР России от 18.12.2002 N 868 "Об организации профессиональной подготовки на право работы с опасными отходами". Федерального закона "Об основах охраны здоровья граждан в Российской Федерации" от 21.11.2011 N 323-ФЗ.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Федерального закона "О пожарной безопасности" от 21.12.1994 N 69-ФЗ.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Минтруда России от 16.11.2020 № 782н "Об утверждении Правил по охране труда при работе на высоте".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Минэнерго России от 22.09.2020 N 796  "Об утверждении Правил работы с персоналом в организациях электроэнергетики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Минтруда России от 15.12.2020 N 903н "Об утверждении Правил по охране труда при эксплуатации электроустановок".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Приказа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движения".  Приказа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60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Услуги оказываются в очной, очно-заочной, дистанционной форме обучения.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1.3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60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Соответствие программ и условий обучения с требованиями действующего законодательства РФ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80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оказания Услуг, их тематика, количество Слушателей и иная необходимая для оказания Услуг информация, согласовывается Сторонами и отражается в Заявке к настоящему Договору.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Копии Заявок прикладываются к Договорам Исполнителя и Заказчика и должны иметь свой порядковый номер, дату и номер договора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1411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Наличие развитой материально-технической базы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1.4.2</w:t>
            </w:r>
          </w:p>
        </w:tc>
        <w:tc>
          <w:tcPr>
            <w:tcW w:w="80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оборудования, наглядных пособий, компьютерных обучающих программ, в том числе программ дистанционного обучения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1.4.3</w:t>
            </w:r>
          </w:p>
        </w:tc>
        <w:tc>
          <w:tcPr>
            <w:tcW w:w="80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Актуализированный фонд нормативных, справочных и учебно-методических документов, необходимым для оказания услуг по программам обучения</w:t>
            </w:r>
          </w:p>
        </w:tc>
        <w:tc>
          <w:tcPr>
            <w:tcW w:w="355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01" w:name="_Toc162698186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  <w:bookmarkEnd w:id="101"/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Наличие учебных классов (помещений для обучения), удовлетворяющих соответствующим требованиям Постановления Главного государственного санитарного врача Российской Федерации от 28.09.2020 г. № 28 "Об утверждении санитарных правил СП 2.4. 3648-20 "Санитарно- эпидемиологические требования к организациям воспитания и обучения, отдыха и оздоровления детей»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1411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персоналу исполнителя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Наличие квалифицированного педагогического персонала (не менее 2-х преподавателей по каждой теме обучения)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11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411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По окончании обучения учебным центром выдаются документы о квалификации: протоколы проверки знаний, свидетельство о профессии рабочего, должности служащего, свидетельства и протоколы о прохождении курса подготовки, удостоверение о повышении квалификации и (или) диплом о профессиональной переподготовке слушателям, успешно освоившим соответствующую дополнительную профессиональную программу и прошедшим итоговую аттестацию. Слушателям, не прошедшим итоговой аттестации или получившим на итоговой аттестации неудовлетворительные результаты, а также слушателям, освоившим часть дополнительной профессиональной программы и (или) отчисленным, выдают справку об обучении или о периоде обучения.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2.1.2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 течение пяти рабочих дней со дня завершения обучения по каждой Заявке направлять Заказчику соответствующий акт оказанных в двух экземплярах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411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услуг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окончании прохождения курса обучения Исполнитель передает Заказчику оригиналы платежных документов, протоколы по обучению, соответствующие свидетельства, удостоверения, дипломы обучения.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411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использования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результата оказания услуг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Документы, оформляемые по итогам прохождения проверки знаний, обучения, повышения квалификации, профессиональной переподготовки, должны содержать реквизиты и соответствовать требованиям действующего законодательства РФ.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безвозмездного оказания образовательной услуги; соразмерного уменьшения стоимости оказанной образовательной услуги; возмещения понесенных им расходов по устранению недостатков оказанной образовательной услуги своими силами или третьими лицами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Исполнитель обязан организовать и обеспечить надлежащее предоставление образовательных услуг, указанных в Заявке.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Исполнитель должен вести учет услуг, предоставленных заказчику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4.3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Уведомлять Заказчика о датах начала обучения за 5-10 рабочих дней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804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Место оказания услуг для очной формы обучения — г. Владивосток либо г. Хабаровск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ind w:left="0" w:right="-2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360" w:right="-2" w:hanging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360" w:right="-2" w:hanging="0"/>
        <w:jc w:val="center"/>
        <w:outlineLvl w:val="0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 </w:t>
      </w:r>
      <w:bookmarkStart w:id="102" w:name="_Toc51339699"/>
      <w:bookmarkStart w:id="103" w:name="_Toc46743519"/>
      <w:bookmarkEnd w:id="102"/>
      <w:bookmarkEnd w:id="103"/>
      <w:r>
        <w:rPr>
          <w:b/>
          <w:color w:val="000000" w:themeColor="text1"/>
          <w:sz w:val="24"/>
          <w:szCs w:val="24"/>
          <w:shd w:fill="auto" w:val="clear"/>
        </w:rPr>
        <w:t>3</w:t>
      </w:r>
      <w:bookmarkStart w:id="104" w:name="_Toc162698187"/>
      <w:r>
        <w:rPr>
          <w:b/>
          <w:color w:val="000000" w:themeColor="text1"/>
          <w:sz w:val="24"/>
          <w:szCs w:val="24"/>
          <w:shd w:fill="auto" w:val="clear"/>
        </w:rPr>
        <w:t>.Требования к документации по ценообразованию на этапе закупки</w:t>
      </w:r>
      <w:bookmarkEnd w:id="104"/>
    </w:p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ind w:lef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BodyText"/>
        <w:jc w:val="both"/>
        <w:rPr/>
      </w:pPr>
      <w:bookmarkStart w:id="105" w:name="__RefHeading___Toc10475_1506096587"/>
      <w:bookmarkStart w:id="106" w:name="_Toc150444157"/>
      <w:bookmarkStart w:id="107" w:name="_Toc130396897"/>
      <w:bookmarkStart w:id="108" w:name="_Toc133340001"/>
      <w:bookmarkEnd w:id="105"/>
      <w:bookmarkEnd w:id="106"/>
      <w:bookmarkEnd w:id="107"/>
      <w:bookmarkEnd w:id="108"/>
      <w:r>
        <w:rPr>
          <w:sz w:val="24"/>
          <w:szCs w:val="24"/>
        </w:rPr>
        <w:t>3.1 В обоснование стоимости своей заявки Участник предоставляет Коммерческое предложение по форме (Приложение № 1 к Техническим требованиям)  с указанием единого понижающего коэффициента.</w:t>
      </w:r>
    </w:p>
    <w:p>
      <w:pPr>
        <w:pStyle w:val="BodyText"/>
        <w:jc w:val="both"/>
        <w:rPr/>
      </w:pPr>
      <w:r>
        <w:rPr>
          <w:sz w:val="24"/>
          <w:szCs w:val="24"/>
        </w:rPr>
        <w:t>3.2 Предложения по единичным расценкам, представленные в заявке победителя, будут закреплены в договоре.</w:t>
      </w:r>
    </w:p>
    <w:p>
      <w:pPr>
        <w:pStyle w:val="Normal"/>
        <w:jc w:val="both"/>
        <w:rPr/>
      </w:pPr>
      <w:r>
        <w:rPr>
          <w:sz w:val="24"/>
          <w:szCs w:val="24"/>
        </w:rPr>
        <w:t>3.3.</w:t>
        <w:tab/>
      </w:r>
      <w:r>
        <w:rPr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запросу ТКП).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Next w:val="true"/>
        <w:widowControl/>
        <w:numPr>
          <w:ilvl w:val="0"/>
        </w:numPr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4. </w:t>
      </w:r>
      <w:bookmarkStart w:id="109" w:name="_Toc141728507"/>
      <w:bookmarkStart w:id="110" w:name="_Toc54279845"/>
      <w:bookmarkStart w:id="111" w:name="_Toc212465634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109"/>
      <w:bookmarkEnd w:id="110"/>
      <w:bookmarkEnd w:id="11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</w:numPr>
        <w:jc w:val="both"/>
        <w:rPr/>
      </w:pPr>
      <w:bookmarkStart w:id="112" w:name="__RefHeading___Toc10483_1506096587"/>
      <w:bookmarkStart w:id="113" w:name="_Toc207898766"/>
      <w:bookmarkEnd w:id="112"/>
      <w:r>
        <w:rPr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договора, а также с единичными расценками (ценой за единицу продукции), предложенными в заявке  Победителем.</w:t>
      </w:r>
      <w:bookmarkEnd w:id="113"/>
    </w:p>
    <w:p>
      <w:pPr>
        <w:pStyle w:val="Normal"/>
        <w:numPr>
          <w:ilvl w:val="0"/>
        </w:numPr>
        <w:jc w:val="both"/>
        <w:rPr/>
      </w:pPr>
      <w:bookmarkStart w:id="114" w:name="_Toc207898767"/>
      <w:r>
        <w:rPr>
          <w:sz w:val="24"/>
          <w:szCs w:val="24"/>
        </w:rPr>
        <w:t>4.2. Порядок формирования на этапе исполнения договора стоимости выполняемых услуг по заявке заказчика установлен в Проекте договора (Приложение №2 к запросу ТКП)</w:t>
      </w:r>
      <w:bookmarkEnd w:id="114"/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568" w:hanging="0"/>
        <w:jc w:val="both"/>
        <w:rPr>
          <w:sz w:val="24"/>
          <w:szCs w:val="24"/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</w:r>
      <w:bookmarkStart w:id="115" w:name="__RefHeading___Toc10493_1506096587"/>
      <w:bookmarkStart w:id="116" w:name="__RefHeading___Toc10493_1506096587"/>
      <w:bookmarkEnd w:id="116"/>
    </w:p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ind w:left="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Приложение № 1 -  Коммерческое предложение.</w:t>
      </w:r>
    </w:p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ind w:left="360" w:right="-2" w:hanging="0"/>
        <w:jc w:val="both"/>
        <w:outlineLvl w:val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ListParagraph"/>
        <w:ind w:left="1080" w:right="-2" w:hanging="0"/>
        <w:jc w:val="both"/>
        <w:rPr>
          <w:color w:val="000000" w:themeColor="text1"/>
          <w:sz w:val="24"/>
          <w:szCs w:val="24"/>
          <w:highlight w:val="none"/>
          <w:shd w:fill="auto" w:val="clear"/>
        </w:rPr>
      </w:pPr>
      <w:r>
        <w:rPr>
          <w:color w:val="000000" w:themeColor="text1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-57" w:right="0" w:firstLine="340"/>
        <w:jc w:val="both"/>
        <w:rPr>
          <w:b w:val="false"/>
          <w:bCs/>
          <w:iCs/>
          <w:sz w:val="24"/>
          <w:szCs w:val="24"/>
          <w:highlight w:val="none"/>
          <w:shd w:fill="auto" w:val="clear"/>
        </w:rPr>
      </w:pPr>
      <w:r>
        <w:rPr/>
      </w:r>
    </w:p>
    <w:sectPr>
      <w:headerReference w:type="default" r:id="rId6"/>
      <w:headerReference w:type="first" r:id="rId7"/>
      <w:type w:val="nextPage"/>
      <w:pgSz w:orient="landscape" w:w="16838" w:h="11906"/>
      <w:pgMar w:left="1276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05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41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4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7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7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34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9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9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4" w:hanging="216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36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/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267d8"/>
    <w:pPr>
      <w:keepNext w:val="true"/>
      <w:jc w:val="both"/>
      <w:outlineLvl w:val="2"/>
    </w:pPr>
    <w:rPr>
      <w:rFonts w:eastAsia="Calibri"/>
      <w:b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267d8"/>
    <w:rPr>
      <w:rFonts w:eastAsia="Calibri"/>
      <w:b/>
      <w:sz w:val="28"/>
      <w:szCs w:val="28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для подзаголовков Знак"/>
    <w:link w:val="Style35"/>
    <w:qFormat/>
    <w:locked/>
    <w:rsid w:val="0037114f"/>
    <w:rPr>
      <w:b/>
      <w:sz w:val="28"/>
      <w:szCs w:val="28"/>
    </w:rPr>
  </w:style>
  <w:style w:type="character" w:styleId="Tipsy-tooltip" w:customStyle="1">
    <w:name w:val="tipsy-tooltip"/>
    <w:basedOn w:val="DefaultParagraphFont"/>
    <w:qFormat/>
    <w:rsid w:val="00a27b18"/>
    <w:rPr/>
  </w:style>
  <w:style w:type="character" w:styleId="Style15">
    <w:name w:val="Ссылка указателя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0017f9"/>
    <w:pPr>
      <w:tabs>
        <w:tab w:val="clear" w:pos="708"/>
        <w:tab w:val="right" w:pos="9911" w:leader="dot"/>
      </w:tabs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5" w:customStyle="1">
    <w:name w:val="основной для подзаголовков"/>
    <w:basedOn w:val="Heading2"/>
    <w:link w:val="Style14"/>
    <w:qFormat/>
    <w:rsid w:val="0037114f"/>
    <w:pPr>
      <w:numPr>
        <w:ilvl w:val="0"/>
      </w:numPr>
      <w:suppressAutoHyphens w:val="true"/>
      <w:spacing w:before="0" w:after="120"/>
      <w:ind w:left="432" w:hanging="0"/>
    </w:pPr>
    <w:rPr>
      <w:rFonts w:eastAsia="Times New Roman"/>
      <w:bCs w:val="false"/>
      <w:lang w:eastAsia="ru-RU"/>
    </w:rPr>
  </w:style>
  <w:style w:type="paragraph" w:styleId="Style36" w:customStyle="1">
    <w:name w:val="[РГ] Текст"/>
    <w:basedOn w:val="Normal"/>
    <w:qFormat/>
    <w:rsid w:val="00b2049f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7">
    <w:name w:val="Содержимое врезки"/>
    <w:basedOn w:val="Normal"/>
    <w:qFormat/>
    <w:pPr/>
    <w:rPr/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8778421551">
    <w:name w:val="187784215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D96B-0AA2-4608-91D5-5416EAA9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Application>AlterOffice/3.4.0.9$Linux_X86_64 LibreOffice_project/b8daf9e823b1a5463a2f48435ddc2e8696e7d4fc</Application>
  <AppVersion>15.0000</AppVersion>
  <Pages>12</Pages>
  <Words>1870</Words>
  <Characters>13100</Characters>
  <CharactersWithSpaces>14944</CharactersWithSpaces>
  <Paragraphs>279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2023-07-24T05:18:00Z</dcterms:created>
  <dc:creator>Быстров Олег Геннадьевич</dc:creator>
  <dc:description/>
  <dc:language>ru-RU</dc:language>
  <cp:lastModifiedBy>tkachenkoana@corp.gidroogk.com</cp:lastModifiedBy>
  <cp:lastPrinted>2023-03-07T05:42:00Z</cp:lastPrinted>
  <dcterms:modified xsi:type="dcterms:W3CDTF">2026-06-18T13:53:42Z</dcterms:modified>
  <cp:revision>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