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 xml:space="preserve">____________ (______________) рублей _______ (__________) </w:t>
      </w:r>
      <w:r>
        <w:rPr>
          <w:lang w:val="ru-RU"/>
        </w:rPr>
        <w:t>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pPr>
      <w:r>
        <w:rPr>
          <w:rFonts w:eastAsia="Calibri"/>
          <w:b/>
          <w:bCs/>
        </w:rPr>
        <w:t>ОКПД 2 86.21.10 Оказание услуг по проведению периодического медицинского осмотра в г. Комсомольск-на-Амуре, г. Амурск, пгт. Солнечный для нужд Сахалинского ТУ Владивостокского представительства АО «ТК РусГидро»</w:t>
      </w:r>
    </w:p>
    <w:p>
      <w:pPr>
        <w:pStyle w:val="Normal"/>
        <w:jc w:val="center"/>
        <w:rPr>
          <w:rFonts w:eastAsia="Calibri"/>
          <w:b/>
          <w:bCs/>
        </w:rPr>
      </w:pPr>
      <w:r>
        <w:rPr>
          <w:rFonts w:eastAsia="Calibri"/>
          <w:b/>
          <w:bCs/>
        </w:rPr>
      </w:r>
    </w:p>
    <w:p>
      <w:pPr>
        <w:pStyle w:val="Normal"/>
        <w:keepNext w:val="true"/>
        <w:keepLines/>
        <w:jc w:val="center"/>
        <w:rPr/>
      </w:pPr>
      <w:r>
        <w:rPr>
          <w:rFonts w:eastAsia="Calibri"/>
          <w:b/>
          <w:bCs/>
        </w:rPr>
        <w:t>Лот № 8</w:t>
      </w:r>
      <w:r>
        <w:rPr>
          <w:rFonts w:eastAsia="Calibri"/>
          <w:b/>
          <w:bCs/>
        </w:rPr>
        <w:t>016</w:t>
      </w:r>
      <w:r>
        <w:rPr>
          <w:rFonts w:eastAsia="Calibri"/>
          <w:b/>
          <w:bCs/>
        </w:rPr>
        <w:t>-ЭКСП ПРОД-202</w:t>
      </w:r>
      <w:r>
        <w:rPr>
          <w:rFonts w:eastAsia="Calibri"/>
          <w:b/>
          <w:bCs/>
        </w:rPr>
        <w:t>7</w:t>
      </w:r>
      <w:r>
        <w:rPr>
          <w:rFonts w:eastAsia="Calibri"/>
          <w:b/>
          <w:bCs/>
        </w:rPr>
        <w:t>-Влад ТК РусГидро АО</w:t>
      </w:r>
    </w:p>
    <w:p>
      <w:pPr>
        <w:pStyle w:val="Normal"/>
        <w:keepNext w:val="true"/>
        <w:keepLines/>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135150390"/>
      <w:bookmarkStart w:id="17" w:name="_Toc54643694"/>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46743506"/>
      <w:bookmarkStart w:id="20" w:name="_Toc54643696"/>
      <w:bookmarkStart w:id="21" w:name="_Toc135150391"/>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Комсомольск-на-Амуре, г. Амурск, пгт. Солнечный для нужд Сахалинского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35150395"/>
      <w:bookmarkStart w:id="28" w:name="_Toc54643699"/>
      <w:bookmarkStart w:id="29" w:name="_Toc129097754"/>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Комсомольск-на-Амуре, г. Амурск, пгт. Солнечный для нужд Сахалинского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 xml:space="preserve">Проведение осмотров осуществляется </w:t>
            </w:r>
            <w:r>
              <w:rPr>
                <w:iCs/>
                <w:lang w:val="ru-RU"/>
              </w:rPr>
              <w:t>в г. Комсомольск-на-Амуре, г. Амурск, пгт. Солнечный</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4643702"/>
      <w:bookmarkStart w:id="32" w:name="_Toc135150396"/>
      <w:bookmarkStart w:id="33" w:name="_Toc51339693"/>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54643703"/>
      <w:bookmarkStart w:id="36" w:name="_Toc135150397"/>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135150398"/>
      <w:bookmarkStart w:id="38" w:name="_Toc54643704"/>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135150399"/>
      <w:bookmarkStart w:id="40" w:name="_Toc54643705"/>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4950" w:type="pct"/>
        <w:jc w:val="left"/>
        <w:tblInd w:w="193" w:type="dxa"/>
        <w:tblLayout w:type="fixed"/>
        <w:tblCellMar>
          <w:top w:w="0" w:type="dxa"/>
          <w:left w:w="108" w:type="dxa"/>
          <w:bottom w:w="0" w:type="dxa"/>
          <w:right w:w="108" w:type="dxa"/>
        </w:tblCellMar>
        <w:tblLook w:val="04a0" w:noHBand="0" w:noVBand="1" w:firstColumn="1" w:lastRow="0" w:lastColumn="0" w:firstRow="1"/>
      </w:tblPr>
      <w:tblGrid>
        <w:gridCol w:w="595"/>
        <w:gridCol w:w="6383"/>
        <w:gridCol w:w="1423"/>
        <w:gridCol w:w="1418"/>
      </w:tblGrid>
      <w:tr>
        <w:trPr/>
        <w:tc>
          <w:tcPr>
            <w:tcW w:w="5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8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5"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83"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3"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8" w:type="dxa"/>
            <w:tcBorders>
              <w:left w:val="single" w:sz="4" w:space="0" w:color="000000"/>
              <w:bottom w:val="single" w:sz="4" w:space="0" w:color="000000"/>
              <w:right w:val="single" w:sz="4" w:space="0" w:color="000000"/>
            </w:tcBorders>
          </w:tcPr>
          <w:p>
            <w:pPr>
              <w:pStyle w:val="Normal"/>
              <w:widowControl w:val="false"/>
              <w:jc w:val="center"/>
              <w:rPr/>
            </w:pPr>
            <w:r>
              <w:rPr/>
              <w:t>14</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135150400"/>
      <w:bookmarkStart w:id="44" w:name="_Toc54643706"/>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54643707"/>
      <w:bookmarkStart w:id="48" w:name="_Toc135150401"/>
      <w:bookmarkStart w:id="49" w:name="_Toc50125127"/>
      <w:bookmarkStart w:id="50" w:name="_Toc5133969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Комсомольск-на-Амуре, г. Амурск, пгт. Солнечный для нужд Сахалинского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31.12.2027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54643708"/>
      <w:bookmarkStart w:id="56" w:name="_Toc135150402"/>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Комсомольск-на-Амуре, г. Амурск, пгт. Солнечный для нужд Сахалинского ТУ Владивостокского представительства АО «ТК РусГидро»</w:t>
      </w:r>
    </w:p>
    <w:p>
      <w:pPr>
        <w:pStyle w:val="Normal"/>
        <w:rPr>
          <w:i/>
          <w:i/>
          <w:iCs/>
          <w:shd w:fill="FFFF99" w:val="clear"/>
        </w:rPr>
      </w:pPr>
      <w:r>
        <w:rPr>
          <w:i/>
          <w:iCs/>
          <w:shd w:fill="FFFF99" w:val="clear"/>
        </w:rPr>
      </w:r>
    </w:p>
    <w:p>
      <w:pPr>
        <w:pStyle w:val="Normal"/>
        <w:rPr>
          <w:lang w:val="ru-RU"/>
        </w:rPr>
      </w:pPr>
      <w:r>
        <w:rPr>
          <w:lang w:val="ru-RU"/>
        </w:rPr>
      </w:r>
      <w:bookmarkStart w:id="60" w:name="_GoBack"/>
      <w:bookmarkStart w:id="61" w:name="_GoBack"/>
      <w:bookmarkEnd w:id="61"/>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14</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21</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Application>AlterOffice/3.4.0.9$Linux_X86_64 LibreOffice_project/b8daf9e823b1a5463a2f48435ddc2e8696e7d4fc</Application>
  <AppVersion>15.0000</AppVersion>
  <Pages>21</Pages>
  <Words>6511</Words>
  <Characters>46216</Characters>
  <CharactersWithSpaces>52634</CharactersWithSpaces>
  <Paragraphs>324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2026-06-19T14:56:52Z</dcterms:modified>
  <cp:revision>168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