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bCs/>
          <w:sz w:val="24"/>
          <w:szCs w:val="24"/>
        </w:rPr>
      </w:pPr>
      <w:r>
        <w:rPr>
          <w:b/>
          <w:bCs/>
          <w:sz w:val="24"/>
          <w:szCs w:val="24"/>
        </w:rPr>
        <w:t>ПРОЕКТ ДОГОВОРА</w:t>
      </w:r>
    </w:p>
    <w:p>
      <w:pPr>
        <w:pStyle w:val="Normal"/>
        <w:widowControl/>
        <w:jc w:val="center"/>
        <w:rPr>
          <w:b/>
          <w:bCs/>
          <w:sz w:val="24"/>
          <w:szCs w:val="24"/>
        </w:rPr>
      </w:pPr>
      <w:r>
        <w:rPr>
          <w:rFonts w:ascii="Times New Roman;serif" w:hAnsi="Times New Roman;serif"/>
          <w:b/>
          <w:bCs/>
          <w:color w:val="000000"/>
          <w:sz w:val="24"/>
          <w:szCs w:val="24"/>
          <w:shd w:fill="auto" w:val="clear"/>
        </w:rPr>
        <w:t>Поставка электротехнических материалов</w:t>
      </w:r>
      <w:r>
        <w:rPr>
          <w:b/>
          <w:bCs/>
          <w:sz w:val="24"/>
          <w:szCs w:val="24"/>
        </w:rPr>
        <w:t xml:space="preserve"> для филиала ПАО "РусГидро"-"Зейская ГЭС"</w:t>
      </w:r>
    </w:p>
    <w:p>
      <w:pPr>
        <w:pStyle w:val="Normal"/>
        <w:shd w:val="clear" w:color="auto" w:fill="FFFFFF"/>
        <w:tabs>
          <w:tab w:val="clear" w:pos="709"/>
          <w:tab w:val="left" w:pos="6926" w:leader="none"/>
        </w:tabs>
        <w:jc w:val="center"/>
        <w:rPr>
          <w:b/>
          <w:sz w:val="24"/>
          <w:szCs w:val="24"/>
        </w:rPr>
      </w:pPr>
      <w:r>
        <w:rPr>
          <w:b/>
          <w:sz w:val="24"/>
          <w:szCs w:val="24"/>
        </w:rPr>
      </w:r>
    </w:p>
    <w:p>
      <w:pPr>
        <w:pStyle w:val="Normal"/>
        <w:shd w:val="clear" w:color="auto" w:fill="FFFFFF"/>
        <w:tabs>
          <w:tab w:val="clear" w:pos="709"/>
          <w:tab w:val="left" w:pos="6926" w:leader="none"/>
        </w:tabs>
        <w:jc w:val="center"/>
        <w:rPr>
          <w:b/>
          <w:sz w:val="24"/>
          <w:szCs w:val="24"/>
        </w:rPr>
      </w:pPr>
      <w:r>
        <w:rPr>
          <w:b/>
          <w:sz w:val="24"/>
          <w:szCs w:val="24"/>
        </w:rPr>
      </w:r>
    </w:p>
    <w:p>
      <w:pPr>
        <w:pStyle w:val="Normal"/>
        <w:shd w:val="clear" w:color="auto" w:fill="FFFFFF"/>
        <w:tabs>
          <w:tab w:val="clear" w:pos="709"/>
          <w:tab w:val="left" w:pos="6926" w:leader="none"/>
        </w:tabs>
        <w:jc w:val="center"/>
        <w:rPr>
          <w:b/>
          <w:sz w:val="24"/>
          <w:szCs w:val="24"/>
        </w:rPr>
      </w:pPr>
      <w:r>
        <w:rPr/>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Зея</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z w:val="24"/>
          <w:szCs w:val="24"/>
        </w:rPr>
      </w:pPr>
      <w:r>
        <w:rPr>
          <w:b/>
          <w:sz w:val="24"/>
          <w:szCs w:val="24"/>
        </w:rPr>
        <w:t xml:space="preserve">Публичное акционерное общество «Федеральная гидрогенерирующая </w:t>
        <w:br/>
        <w:t xml:space="preserve">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xml:space="preserve">, действующего на основании ________, с одной стороны, </w:t>
        <w:br/>
        <w:t>и</w:t>
      </w:r>
      <w:r>
        <w:rPr>
          <w:spacing w:val="10"/>
          <w:sz w:val="24"/>
          <w:szCs w:val="24"/>
        </w:rPr>
        <w:t xml:space="preserve"> </w:t>
      </w: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pacing w:val="10"/>
          <w:sz w:val="24"/>
          <w:szCs w:val="24"/>
        </w:rPr>
      </w:pPr>
      <w:r>
        <w:rPr>
          <w:sz w:val="24"/>
          <w:szCs w:val="24"/>
        </w:rPr>
        <w:t xml:space="preserve">совместно в дальнейшем именуемые «Стороны», а по отдельности – «Сторона», </w:t>
        <w:br/>
      </w:r>
      <w:r>
        <w:rPr>
          <w:sz w:val="24"/>
          <w:szCs w:val="24"/>
          <w:shd w:fill="auto" w:val="clear"/>
          <w:lang w:eastAsia="en-US"/>
        </w:rPr>
        <w:t xml:space="preserve">по результатам проведенной Покупателем закупочной процедуры по лоту № ____________ и на основании протокола __________ от «___» _________ г. №_______, </w:t>
      </w:r>
      <w:r>
        <w:rPr>
          <w:sz w:val="24"/>
          <w:szCs w:val="24"/>
          <w:shd w:fill="auto" w:val="clear"/>
        </w:rPr>
        <w:t>заключ</w:t>
      </w:r>
      <w:r>
        <w:rPr>
          <w:sz w:val="24"/>
          <w:szCs w:val="24"/>
        </w:rPr>
        <w:t>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 xml:space="preserve">Термины и определения, приведенные в настоящем разделе, предназначены </w:t>
        <w:br/>
        <w:t>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w:t>
        <w:br/>
        <w:t>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в той мере, в какой указанные правила не противоречат законодательству Российской Федерации и условиям настоящего Договора.</w:t>
      </w:r>
    </w:p>
    <w:p>
      <w:pPr>
        <w:pStyle w:val="ListParagraph"/>
        <w:shd w:val="clear" w:color="auto" w:fill="FFFFFF"/>
        <w:tabs>
          <w:tab w:val="clear" w:pos="709"/>
          <w:tab w:val="left" w:pos="567" w:leader="none"/>
          <w:tab w:val="left" w:pos="1134" w:leader="none"/>
        </w:tabs>
        <w:overflowPunct w:val="fals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 xml:space="preserve">от 25.12.1998 № 132, подписываемый Сторонами после завершения приемки Товара </w:t>
        <w:br/>
        <w:t>по количеству, качеству и комплектности.</w:t>
      </w:r>
    </w:p>
    <w:p>
      <w:pPr>
        <w:pStyle w:val="ListParagraph"/>
        <w:shd w:val="clear" w:color="auto" w:fill="FFFFFF"/>
        <w:tabs>
          <w:tab w:val="clear" w:pos="709"/>
          <w:tab w:val="left" w:pos="0" w:leader="none"/>
        </w:tabs>
        <w:overflowPunct w:val="false"/>
        <w:ind w:left="0" w:firstLine="709"/>
        <w:jc w:val="both"/>
        <w:textAlignment w:val="baseline"/>
        <w:rPr>
          <w:b/>
          <w:sz w:val="24"/>
          <w:szCs w:val="24"/>
          <w:lang w:eastAsia="en-US"/>
        </w:rPr>
      </w:pPr>
      <w:r>
        <w:rPr>
          <w:b/>
          <w:bCs/>
          <w:sz w:val="24"/>
          <w:szCs w:val="24"/>
        </w:rPr>
        <w:t>«Национальный режим»</w:t>
      </w:r>
      <w:r>
        <w:rPr>
          <w:bCs/>
          <w:sz w:val="24"/>
          <w:szCs w:val="24"/>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lang w:eastAsia="en-US"/>
        </w:rPr>
        <w:t xml:space="preserve"> </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«Проектная документация»</w:t>
      </w:r>
      <w:r>
        <w:rPr>
          <w:sz w:val="24"/>
          <w:szCs w:val="24"/>
          <w:lang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Normal"/>
        <w:ind w:firstLine="709"/>
        <w:jc w:val="both"/>
        <w:rPr>
          <w:sz w:val="24"/>
          <w:szCs w:val="24"/>
          <w:lang w:eastAsia="en-US"/>
        </w:rPr>
      </w:pPr>
      <w:r>
        <w:rPr>
          <w:sz w:val="24"/>
          <w:szCs w:val="24"/>
          <w:lang w:eastAsia="en-US"/>
        </w:rPr>
        <w:t xml:space="preserve">Состав разделов Проектной документации определяется Применимым правом. </w:t>
      </w:r>
    </w:p>
    <w:p>
      <w:pPr>
        <w:pStyle w:val="Normal"/>
        <w:ind w:firstLine="709"/>
        <w:jc w:val="both"/>
        <w:rPr>
          <w:b/>
          <w:sz w:val="24"/>
          <w:szCs w:val="24"/>
          <w:lang w:eastAsia="en-US"/>
        </w:rPr>
      </w:pPr>
      <w:r>
        <w:rPr>
          <w:sz w:val="24"/>
          <w:szCs w:val="24"/>
          <w:lang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Покупателя.</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widowControl w:val="false"/>
        <w:tabs>
          <w:tab w:val="clear" w:pos="709"/>
          <w:tab w:val="left" w:pos="567" w:leader="none"/>
        </w:tabs>
        <w:overflowPunct w:val="false"/>
        <w:spacing w:before="0" w:after="0"/>
        <w:ind w:firstLine="708"/>
        <w:jc w:val="both"/>
        <w:textAlignment w:val="baseline"/>
        <w:rPr>
          <w:highlight w:val="none"/>
          <w:shd w:fill="auto" w:val="clear"/>
        </w:rPr>
      </w:pPr>
      <w:r>
        <w:rPr>
          <w:rFonts w:eastAsia="Times New Roman" w:cs="Times New Roman" w:ascii="Times New Roman" w:hAnsi="Times New Roman"/>
          <w:b/>
          <w:color w:val="000000"/>
          <w:kern w:val="0"/>
          <w:sz w:val="24"/>
          <w:szCs w:val="24"/>
          <w:shd w:fill="auto" w:val="clear"/>
          <w:lang w:val="ru-RU" w:eastAsia="en-US" w:bidi="ar-SA"/>
        </w:rPr>
        <w:t xml:space="preserve">«Универсальный передаточный документ», «УПД» </w:t>
      </w:r>
      <w:r>
        <w:rPr>
          <w:rFonts w:eastAsia="Times New Roman" w:cs="Times New Roman" w:ascii="Times New Roman" w:hAnsi="Times New Roman"/>
          <w:b w:val="false"/>
          <w:color w:val="000000"/>
          <w:kern w:val="0"/>
          <w:sz w:val="24"/>
          <w:szCs w:val="24"/>
          <w:shd w:fill="auto" w:val="clear"/>
          <w:lang w:val="ru-RU" w:eastAsia="en-US" w:bidi="ar-SA"/>
        </w:rPr>
        <w:t>–</w:t>
      </w:r>
      <w:r>
        <w:rPr>
          <w:rFonts w:eastAsia="Times New Roman" w:cs="Times New Roman" w:ascii="Times New Roman" w:hAnsi="Times New Roman"/>
          <w:b/>
          <w:color w:val="000000"/>
          <w:kern w:val="0"/>
          <w:sz w:val="24"/>
          <w:szCs w:val="24"/>
          <w:shd w:fill="auto" w:val="clear"/>
          <w:lang w:val="ru-RU" w:eastAsia="en-US" w:bidi="ar-SA"/>
        </w:rPr>
        <w:t xml:space="preserve"> </w:t>
      </w:r>
      <w:r>
        <w:rPr>
          <w:rFonts w:eastAsia="Times New Roman" w:cs="Times New Roman" w:ascii="Times New Roman" w:hAnsi="Times New Roman"/>
          <w:b w:val="false"/>
          <w:color w:val="000000"/>
          <w:kern w:val="0"/>
          <w:sz w:val="24"/>
          <w:szCs w:val="24"/>
          <w:shd w:fill="auto" w:val="clear"/>
          <w:lang w:val="ru-RU" w:eastAsia="en-US" w:bidi="ar-SA"/>
        </w:rPr>
        <w:t>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r>
        <w:rPr>
          <w:rFonts w:eastAsia="Times New Roman" w:cs="Times New Roman" w:ascii="Times New Roman" w:hAnsi="Times New Roman"/>
          <w:b w:val="false"/>
          <w:bCs w:val="false"/>
          <w:color w:val="000000"/>
          <w:kern w:val="0"/>
          <w:sz w:val="24"/>
          <w:szCs w:val="24"/>
          <w:shd w:fill="auto" w:val="clear"/>
          <w:lang w:val="ru-RU" w:eastAsia="en-US" w:bidi="ar-SA"/>
        </w:rPr>
        <w:t>.</w:t>
      </w:r>
    </w:p>
    <w:p>
      <w:pPr>
        <w:pStyle w:val="Heading3"/>
        <w:tabs>
          <w:tab w:val="clear" w:pos="709"/>
          <w:tab w:val="left" w:pos="0" w:leader="none"/>
        </w:tabs>
        <w:overflowPunct w:val="fals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w:t>
        <w:br/>
        <w:t xml:space="preserve">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Поставщик обязуется в порядке и сроки, установленные Договором, передать </w:t>
        <w:br/>
        <w:t>в собственность Покупателю</w:t>
      </w:r>
      <w:r>
        <w:rPr>
          <w:rFonts w:eastAsia="Calibri"/>
          <w:bCs/>
          <w:sz w:val="24"/>
          <w:szCs w:val="24"/>
          <w:lang w:eastAsia="en-US"/>
        </w:rPr>
        <w:t xml:space="preserve"> </w:t>
      </w:r>
      <w:r>
        <w:rPr>
          <w:rFonts w:eastAsia="Calibri"/>
          <w:b/>
          <w:bCs/>
          <w:i w:val="false"/>
          <w:iCs w:val="false"/>
          <w:sz w:val="24"/>
          <w:szCs w:val="24"/>
          <w:shd w:fill="auto" w:val="clear"/>
          <w:lang w:eastAsia="en-US"/>
        </w:rPr>
        <w:t>электротехнические материалы</w:t>
      </w:r>
      <w:r>
        <w:rPr>
          <w:bCs/>
          <w:sz w:val="24"/>
          <w:szCs w:val="24"/>
          <w:shd w:fill="auto" w:val="clear"/>
        </w:rPr>
        <w:t xml:space="preserve"> </w:t>
      </w:r>
      <w:r>
        <w:rPr>
          <w:bCs/>
          <w:sz w:val="24"/>
          <w:szCs w:val="24"/>
        </w:rPr>
        <w:t>(далее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филиала ПАО «РусГидро»-«Зейская ГЭС».</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Место поставки Товара: </w:t>
      </w:r>
      <w:r>
        <w:rPr>
          <w:bCs/>
          <w:sz w:val="24"/>
          <w:szCs w:val="24"/>
          <w:shd w:fill="auto" w:val="clear"/>
        </w:rPr>
        <w:t>676244, Амурская область, г. Зея, склад филиала ПАО «РусГидро»-«Зейская ГЭС»</w:t>
      </w:r>
      <w:r>
        <w:rPr>
          <w:sz w:val="24"/>
          <w:szCs w:val="24"/>
          <w:shd w:fill="auto" w:val="clear"/>
        </w:rPr>
        <w:t xml:space="preserve"> (далее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highlight w:val="none"/>
          <w:shd w:fill="auto" w:val="clear"/>
        </w:rPr>
      </w:pPr>
      <w:r>
        <w:rPr>
          <w:bCs/>
          <w:sz w:val="24"/>
          <w:szCs w:val="24"/>
          <w:shd w:fill="auto" w:val="clear"/>
        </w:rPr>
        <w:t>Срок поставки Товара: «21» июня 2027 г.</w:t>
      </w:r>
    </w:p>
    <w:p>
      <w:pPr>
        <w:pStyle w:val="Normal"/>
        <w:shd w:val="clear" w:color="auto" w:fill="FFFFFF"/>
        <w:tabs>
          <w:tab w:val="clear" w:pos="709"/>
          <w:tab w:val="left" w:pos="540" w:leader="none"/>
        </w:tabs>
        <w:ind w:left="1134" w:hanging="0"/>
        <w:jc w:val="both"/>
        <w:rPr>
          <w:sz w:val="24"/>
          <w:szCs w:val="24"/>
          <w:highlight w:val="none"/>
          <w:shd w:fill="auto" w:val="clear"/>
        </w:rPr>
      </w:pPr>
      <w:r>
        <w:rPr>
          <w:sz w:val="24"/>
          <w:szCs w:val="24"/>
          <w:shd w:fill="auto" w:val="clear"/>
        </w:rPr>
      </w:r>
    </w:p>
    <w:p>
      <w:pPr>
        <w:pStyle w:val="Normal"/>
        <w:numPr>
          <w:ilvl w:val="0"/>
          <w:numId w:val="2"/>
        </w:numPr>
        <w:shd w:val="clear" w:color="auto" w:fill="FFFFFF"/>
        <w:tabs>
          <w:tab w:val="clear" w:pos="709"/>
          <w:tab w:val="left" w:pos="284" w:leader="none"/>
        </w:tabs>
        <w:ind w:left="0" w:hanging="0"/>
        <w:jc w:val="center"/>
        <w:rPr>
          <w:highlight w:val="none"/>
          <w:shd w:fill="auto" w:val="clear"/>
        </w:rPr>
      </w:pPr>
      <w:r>
        <w:rPr>
          <w:b/>
          <w:bCs/>
          <w:sz w:val="24"/>
          <w:szCs w:val="24"/>
          <w:shd w:fill="auto" w:val="clear"/>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shd w:fill="auto" w:val="clear"/>
        </w:rPr>
        <w:t xml:space="preserve">Цена Договора в соответствии со Спецификацией (Приложение № 1 к Договору) </w:t>
      </w:r>
      <w:r>
        <w:rPr>
          <w:bCs/>
          <w:sz w:val="24"/>
          <w:szCs w:val="24"/>
          <w:shd w:fill="auto" w:val="clear"/>
        </w:rPr>
        <w:t xml:space="preserve">является  твердой и составляет </w:t>
      </w:r>
      <w:r>
        <w:rPr>
          <w:sz w:val="24"/>
          <w:szCs w:val="24"/>
          <w:shd w:fill="auto" w:val="clear"/>
        </w:rPr>
        <w:t>_______</w:t>
      </w:r>
      <w:r>
        <w:rPr>
          <w:bCs/>
          <w:sz w:val="24"/>
          <w:szCs w:val="24"/>
          <w:shd w:fill="auto" w:val="clear"/>
        </w:rPr>
        <w:t xml:space="preserve"> (</w:t>
      </w:r>
      <w:r>
        <w:rPr>
          <w:sz w:val="24"/>
          <w:szCs w:val="24"/>
          <w:shd w:fill="auto" w:val="clear"/>
        </w:rPr>
        <w:t>__________________</w:t>
      </w:r>
      <w:r>
        <w:rPr>
          <w:bCs/>
          <w:sz w:val="24"/>
          <w:szCs w:val="24"/>
          <w:shd w:fill="auto" w:val="clear"/>
        </w:rPr>
        <w:t xml:space="preserve">) рублей </w:t>
      </w:r>
      <w:r>
        <w:rPr>
          <w:sz w:val="24"/>
          <w:szCs w:val="24"/>
          <w:shd w:fill="auto" w:val="clear"/>
        </w:rPr>
        <w:t>___</w:t>
      </w:r>
      <w:r>
        <w:rPr>
          <w:bCs/>
          <w:sz w:val="24"/>
          <w:szCs w:val="24"/>
          <w:shd w:fill="auto" w:val="clear"/>
        </w:rPr>
        <w:t xml:space="preserve"> </w:t>
      </w:r>
      <w:r>
        <w:rPr>
          <w:bCs/>
          <w:sz w:val="24"/>
          <w:szCs w:val="24"/>
        </w:rPr>
        <w:t>копеек без учета НДС, при этом НДС исчисляется дополнительно по ставке, установленной ст. 164 Налогового кодекса Российской Федерации.</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w:t>
        <w:br/>
        <w:t xml:space="preserve">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2"/>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w:t>
        <w:br/>
        <w:t xml:space="preserve">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w:t>
        <w:br/>
        <w:t xml:space="preserve">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требованиям, установленным разделом 5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rPr>
      </w:pPr>
      <w:r>
        <w:rPr>
          <w:sz w:val="24"/>
        </w:rPr>
        <w:t>Авансовый платеж в размере 30 (тридцати) процентов от стоимости Товара выплачивается Поставщику в течение 30 (тридцати) календарных дней с даты получения Покупателем счета, выставленного Поставщиком, но не ранее чем за 30 (тридцать) календарных дней до даты поставки Товара, и с учетом пунктов 2.5.1, 2.5.4 Договора.</w:t>
      </w:r>
    </w:p>
    <w:p>
      <w:pPr>
        <w:pStyle w:val="ListParagraph"/>
        <w:numPr>
          <w:ilvl w:val="2"/>
          <w:numId w:val="2"/>
        </w:numPr>
        <w:tabs>
          <w:tab w:val="clear" w:pos="709"/>
        </w:tabs>
        <w:ind w:left="0" w:firstLine="709"/>
        <w:jc w:val="both"/>
        <w:rPr>
          <w:sz w:val="24"/>
        </w:rPr>
      </w:pPr>
      <w:r>
        <w:rPr>
          <w:sz w:val="24"/>
        </w:rPr>
        <w:t>Окончательный платеж в размере 70 (семидесяти) процентов от стоимости Товара</w:t>
      </w:r>
      <w:r>
        <w:rPr>
          <w:rStyle w:val="FootnoteReference"/>
          <w:sz w:val="24"/>
        </w:rPr>
        <w:footnoteReference w:id="2"/>
      </w:r>
      <w:r>
        <w:rPr>
          <w:sz w:val="24"/>
        </w:rPr>
        <w:t xml:space="preserve"> выплачивается Поставщику в течение </w:t>
      </w:r>
      <w:r>
        <w:rPr>
          <w:sz w:val="24"/>
          <w:shd w:fill="auto" w:val="clear"/>
        </w:rPr>
        <w:t>20 (двадцати) календарных дней</w:t>
      </w:r>
      <w:r>
        <w:rPr>
          <w:rStyle w:val="FootnoteReference"/>
          <w:sz w:val="24"/>
          <w:shd w:fill="auto" w:val="clear"/>
        </w:rPr>
        <w:footnoteReference w:id="3"/>
      </w:r>
      <w:r>
        <w:rPr>
          <w:sz w:val="24"/>
          <w:shd w:fill="auto" w:val="clear"/>
        </w:rPr>
        <w:t xml:space="preserve"> / 45 (сорока пяти) календарных дней</w:t>
      </w:r>
      <w:r>
        <w:rPr>
          <w:rStyle w:val="FootnoteReference"/>
          <w:sz w:val="24"/>
          <w:shd w:fill="auto" w:val="clear"/>
        </w:rPr>
        <w:footnoteReference w:id="4"/>
      </w:r>
      <w:r>
        <w:rPr>
          <w:sz w:val="24"/>
          <w:shd w:fill="auto" w:val="clear"/>
        </w:rPr>
        <w:t xml:space="preserve"> / 7 (семи) рабочих дней</w:t>
      </w:r>
      <w:r>
        <w:rPr>
          <w:rStyle w:val="FootnoteReference"/>
          <w:sz w:val="24"/>
          <w:shd w:fill="auto" w:val="clear"/>
        </w:rPr>
        <w:footnoteReference w:id="5"/>
      </w:r>
      <w:r>
        <w:rPr>
          <w:sz w:val="24"/>
        </w:rPr>
        <w:t xml:space="preserve"> с даты подписания Сторонами Накладной ТОРГ-12/УПД на основании счета, выставленного Поставщиком, и с учетом пункта 2.5.4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0"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w:t>
        <w:br/>
        <w:t xml:space="preserve">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2.5.1 Договора, в установленный срок и при этом не приступил к исполнению обязательств по Договору.</w:t>
      </w:r>
      <w:bookmarkEnd w:id="0"/>
      <w:r>
        <w:rPr>
          <w:bCs/>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представить Покупателю счета-фактуры/УПД,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w:t>
        <w:br/>
        <w:t>5 (пяти) рабочих дней с даты получения экземпляров актов сверки расчетов от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 w:val="left" w:pos="1276"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xml:space="preserve">, в том числе (включая, но не ограничиваясь), суммы неотработанного аванса по Договору, суммы неустоек (пени, штрафы) </w:t>
        <w:br/>
        <w:t>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ind w:firstLine="709"/>
        <w:jc w:val="both"/>
        <w:rPr>
          <w:sz w:val="24"/>
          <w:szCs w:val="24"/>
        </w:rPr>
      </w:pPr>
      <w:r>
        <w:rPr>
          <w:sz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Качество, комплектность, количество и ассортимент поставляемого по Договору Товара должны соответствовать Проектной </w:t>
      </w:r>
      <w:r>
        <w:rPr>
          <w:sz w:val="24"/>
          <w:szCs w:val="24"/>
        </w:rPr>
        <w:t>документации</w:t>
      </w:r>
      <w:r>
        <w:rPr>
          <w:bCs/>
          <w:sz w:val="24"/>
          <w:szCs w:val="24"/>
        </w:rPr>
        <w:t>, требованиям Договора и Покупателя,</w:t>
      </w:r>
      <w:r>
        <w:rPr>
          <w:b/>
          <w:bCs/>
          <w:sz w:val="24"/>
          <w:szCs w:val="24"/>
        </w:rPr>
        <w:t xml:space="preserve"> </w:t>
      </w:r>
      <w:r>
        <w:rPr>
          <w:bCs/>
          <w:sz w:val="24"/>
          <w:szCs w:val="24"/>
        </w:rPr>
        <w:t xml:space="preserve">в том числе указанным в Спецификации (Приложение № 1 к Договору), </w:t>
        <w:br/>
        <w:t>а также Применимого права.</w:t>
      </w:r>
    </w:p>
    <w:p>
      <w:pPr>
        <w:pStyle w:val="ListParagraph"/>
        <w:widowControl/>
        <w:shd w:val="clear" w:color="auto" w:fill="FFFFFF"/>
        <w:tabs>
          <w:tab w:val="clear" w:pos="709"/>
          <w:tab w:val="left" w:pos="1276" w:leader="none"/>
        </w:tabs>
        <w:ind w:left="0" w:firstLine="709"/>
        <w:jc w:val="both"/>
        <w:rPr>
          <w:bCs/>
          <w:sz w:val="24"/>
          <w:szCs w:val="24"/>
        </w:rPr>
      </w:pPr>
      <w:r>
        <w:rPr>
          <w:bCs/>
          <w:sz w:val="24"/>
          <w:szCs w:val="24"/>
        </w:rPr>
        <w:t>Поставщик не вправе производить замену Товара на иной Товар, если это приведет к несоблюдению защитных мер, установленных законодательством о Национальном режиме.</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sz w:val="24"/>
          <w:szCs w:val="24"/>
        </w:rPr>
        <w:t>Поставляемый</w:t>
      </w:r>
      <w:r>
        <w:rPr>
          <w:bCs/>
          <w:sz w:val="24"/>
          <w:szCs w:val="24"/>
        </w:rPr>
        <w:t xml:space="preserve">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w:t>
        <w:br/>
        <w:t>и не обременен правами третьих лиц.</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sz w:val="24"/>
          <w:szCs w:val="24"/>
        </w:rPr>
        <w:t>Одновременно</w:t>
      </w:r>
      <w:r>
        <w:rPr>
          <w:bCs/>
          <w:sz w:val="24"/>
          <w:szCs w:val="24"/>
        </w:rPr>
        <w:t xml:space="preserve">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сертификат качества в </w:t>
      </w:r>
      <w:r>
        <w:rPr>
          <w:sz w:val="24"/>
          <w:szCs w:val="24"/>
          <w:shd w:fill="auto" w:val="clear"/>
        </w:rPr>
        <w:t>__(____) экз.;</w:t>
      </w:r>
    </w:p>
    <w:p>
      <w:pPr>
        <w:pStyle w:val="Normal"/>
        <w:numPr>
          <w:ilvl w:val="0"/>
          <w:numId w:val="4"/>
        </w:numPr>
        <w:tabs>
          <w:tab w:val="clear" w:pos="709"/>
          <w:tab w:val="left" w:pos="1418" w:leader="none"/>
        </w:tabs>
        <w:ind w:left="0" w:firstLine="709"/>
        <w:jc w:val="both"/>
        <w:rPr>
          <w:highlight w:val="none"/>
          <w:shd w:fill="auto" w:val="clear"/>
        </w:rPr>
      </w:pPr>
      <w:r>
        <w:rPr>
          <w:sz w:val="24"/>
          <w:szCs w:val="24"/>
          <w:shd w:fill="auto" w:val="clear"/>
        </w:rPr>
        <w:t>технический паспорт на русском языке в __(____) экз.;</w:t>
      </w:r>
    </w:p>
    <w:p>
      <w:pPr>
        <w:pStyle w:val="Normal"/>
        <w:numPr>
          <w:ilvl w:val="0"/>
          <w:numId w:val="4"/>
        </w:numPr>
        <w:tabs>
          <w:tab w:val="clear" w:pos="709"/>
          <w:tab w:val="left" w:pos="1418" w:leader="none"/>
        </w:tabs>
        <w:ind w:left="0" w:firstLine="709"/>
        <w:jc w:val="both"/>
        <w:rPr>
          <w:highlight w:val="none"/>
          <w:shd w:fill="auto" w:val="clear"/>
        </w:rPr>
      </w:pPr>
      <w:r>
        <w:rPr>
          <w:sz w:val="24"/>
          <w:szCs w:val="24"/>
          <w:shd w:fill="auto" w:val="clear"/>
        </w:rPr>
        <w:t>инструкция по эксплуатации на русском языке в __(____) экз.;</w:t>
      </w:r>
    </w:p>
    <w:p>
      <w:pPr>
        <w:pStyle w:val="Normal"/>
        <w:numPr>
          <w:ilvl w:val="0"/>
          <w:numId w:val="4"/>
        </w:numPr>
        <w:tabs>
          <w:tab w:val="clear" w:pos="709"/>
          <w:tab w:val="left" w:pos="1418" w:leader="none"/>
        </w:tabs>
        <w:ind w:left="0" w:firstLine="709"/>
        <w:jc w:val="both"/>
        <w:rPr>
          <w:sz w:val="24"/>
          <w:szCs w:val="24"/>
        </w:rPr>
      </w:pPr>
      <w:r>
        <w:rPr>
          <w:sz w:val="24"/>
          <w:szCs w:val="24"/>
          <w:shd w:fill="auto" w:val="clear"/>
        </w:rPr>
        <w:t>упаковочный лист в __(____) э</w:t>
      </w:r>
      <w:r>
        <w:rPr>
          <w:sz w:val="24"/>
          <w:szCs w:val="24"/>
        </w:rPr>
        <w:t>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tabs>
          <w:tab w:val="clear" w:pos="709"/>
          <w:tab w:val="left" w:pos="1418" w:leader="none"/>
        </w:tabs>
        <w:ind w:left="0" w:firstLine="709"/>
        <w:jc w:val="both"/>
        <w:rPr>
          <w:sz w:val="24"/>
          <w:szCs w:val="24"/>
        </w:rPr>
      </w:pPr>
      <w:r>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__(____)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Накладная ТОРГ-12/УПД в </w:t>
      </w:r>
      <w:r>
        <w:rPr>
          <w:sz w:val="24"/>
          <w:szCs w:val="24"/>
          <w:shd w:fill="auto" w:val="clear"/>
        </w:rPr>
        <w:t>__(____) э</w:t>
      </w:r>
      <w:r>
        <w:rPr>
          <w:sz w:val="24"/>
          <w:szCs w:val="24"/>
        </w:rPr>
        <w:t>кз.</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w:t>
      </w:r>
      <w:r>
        <w:rPr>
          <w:sz w:val="24"/>
          <w:szCs w:val="24"/>
        </w:rPr>
        <w:t>своего</w:t>
      </w:r>
      <w:r>
        <w:rPr>
          <w:bCs/>
          <w:sz w:val="24"/>
          <w:szCs w:val="24"/>
        </w:rPr>
        <w:t xml:space="preserve"> представителя, уполномоченного надлежащим образом оформленной доверенностью на передачу Товара Покупателю, подписание Акта рекламации. </w:t>
        <w:br/>
        <w:t xml:space="preserve">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w:t>
        <w:br/>
        <w:t xml:space="preserve">по Договору. Стороны будут рассматривать неявку представителя Поставщика </w:t>
        <w:br/>
        <w:t xml:space="preserve">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В </w:t>
      </w:r>
      <w:r>
        <w:rPr>
          <w:sz w:val="24"/>
          <w:szCs w:val="24"/>
        </w:rPr>
        <w:t>случае</w:t>
      </w:r>
      <w:r>
        <w:rPr>
          <w:bCs/>
          <w:sz w:val="24"/>
          <w:szCs w:val="24"/>
        </w:rPr>
        <w:t xml:space="preserve"> неявки представителя Поставщика и / или его отказа от подписания Акта рекламации при приемке Товара, составленный и подписанный Покупателем </w:t>
        <w:br/>
        <w:t>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bookmarkStart w:id="1" w:name="_Ref361408474"/>
      <w:r>
        <w:rPr>
          <w:sz w:val="24"/>
          <w:szCs w:val="24"/>
        </w:rPr>
        <w:t>Товар</w:t>
      </w:r>
      <w:r>
        <w:rPr>
          <w:bCs/>
          <w:sz w:val="24"/>
          <w:szCs w:val="24"/>
        </w:rPr>
        <w:t xml:space="preserve">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w:t>
        <w:br/>
        <w:t xml:space="preserve">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bookmarkStart w:id="2" w:name="_Ref361396594"/>
      <w:r>
        <w:rPr>
          <w:sz w:val="24"/>
          <w:szCs w:val="24"/>
        </w:rPr>
        <w:t xml:space="preserve">Датой поставки Товара является дата подписания Сторонами Накладной </w:t>
        <w:br/>
        <w:t>ТОРГ-12/УПД.</w:t>
      </w:r>
      <w:bookmarkEnd w:id="2"/>
      <w:r>
        <w:rPr>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15</w:t>
      </w:r>
      <w:r>
        <w:rPr>
          <w:sz w:val="24"/>
          <w:szCs w:val="24"/>
          <w:shd w:fill="auto" w:val="clear"/>
        </w:rPr>
        <w:t xml:space="preserve"> (пятнадцати)</w:t>
      </w:r>
      <w:r>
        <w:rPr>
          <w:sz w:val="24"/>
          <w:szCs w:val="24"/>
        </w:rPr>
        <w:t xml:space="preserve"> календарных дней с даты выявления указанных нарушений представить Покупателю необходимые принадлежности и / или документы, </w:t>
        <w:br/>
        <w:t xml:space="preserve">а также восполнить недопоставку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sz w:val="24"/>
          <w:szCs w:val="24"/>
        </w:rPr>
      </w:pPr>
      <w:bookmarkStart w:id="3"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3"/>
      <w:r>
        <w:rPr>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w:t>
        <w:br/>
        <w:t xml:space="preserve">в присутствии представителя Поставщика в течение </w:t>
      </w:r>
      <w:r>
        <w:rPr>
          <w:sz w:val="24"/>
          <w:szCs w:val="24"/>
          <w:shd w:fill="auto" w:val="clear"/>
        </w:rPr>
        <w:t>15 (пятнадцати)</w:t>
      </w:r>
      <w:r>
        <w:rPr>
          <w:sz w:val="24"/>
          <w:szCs w:val="24"/>
        </w:rPr>
        <w:t xml:space="preserve"> рабочих дней </w:t>
        <w:br/>
        <w:t>с даты подписания Покупателем транспортных документов. В случае отсутствия замечаний Покупатель подписывает Накладную ТОРГ-12/УПД.</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w:t>
        <w:br/>
        <w:t>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Покупатель вправе не производить любые платежи, предусмотренные Договором, </w:t>
        <w:br/>
        <w:t xml:space="preserve">до исполнения Поставщиком своих обязательств по Договору, при этом Покупатель </w:t>
        <w:br/>
        <w:t>не считается просрочившим.</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w:t>
        <w:br/>
        <w:t>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 xml:space="preserve">Если Поставщик не вывезет Товар в указанный срок, Покупатель вправе самостоятельно возвратить Товар Поставщику. Расходы, понесенные Покупателем в связи </w:t>
        <w:br/>
        <w:t>с возвратом Товара, подлежат возмещению Поставщиком.</w:t>
      </w:r>
    </w:p>
    <w:p>
      <w:pPr>
        <w:pStyle w:val="ListParagraph"/>
        <w:widowControl/>
        <w:numPr>
          <w:ilvl w:val="1"/>
          <w:numId w:val="2"/>
        </w:numPr>
        <w:shd w:val="clear" w:color="auto" w:fill="FFFFFF"/>
        <w:tabs>
          <w:tab w:val="clear" w:pos="709"/>
          <w:tab w:val="left" w:pos="1276" w:leader="none"/>
        </w:tabs>
        <w:ind w:left="0" w:firstLine="709"/>
        <w:jc w:val="both"/>
        <w:rPr>
          <w:b/>
          <w:color w:val="000000"/>
          <w:sz w:val="24"/>
          <w:szCs w:val="24"/>
        </w:rPr>
      </w:pPr>
      <w:r>
        <w:rPr>
          <w:sz w:val="24"/>
          <w:szCs w:val="24"/>
        </w:rPr>
        <w:t xml:space="preserve">По иным вопросам, касающимся приемки Товара по количеству, качеству </w:t>
        <w:br/>
        <w:t xml:space="preserve">и комплектности в части, не противоречащей законодательству Российской Федерации </w:t>
        <w:br/>
        <w:t>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pPr>
        <w:pStyle w:val="Normal"/>
        <w:shd w:val="clear" w:color="auto" w:fill="FFFFFF"/>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0" w:hanging="0"/>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 xml:space="preserve">Гарантийный срок на Товар, поставленный по Договору, составляет </w:t>
      </w:r>
      <w:r>
        <w:rPr>
          <w:sz w:val="24"/>
          <w:szCs w:val="24"/>
          <w:shd w:fill="auto" w:val="clear"/>
        </w:rPr>
        <w:t>____ (______) месяцев и начинает течь с даты подписания Сторонами Накладной ТОРГ-12/У</w:t>
      </w:r>
      <w:r>
        <w:rPr>
          <w:sz w:val="24"/>
          <w:szCs w:val="24"/>
        </w:rPr>
        <w:t>ПД.</w:t>
      </w:r>
      <w:r>
        <w:rPr/>
        <w:t xml:space="preserve"> </w:t>
      </w:r>
      <w:r>
        <w:rPr>
          <w:sz w:val="24"/>
          <w:szCs w:val="24"/>
        </w:rPr>
        <w:t xml:space="preserve">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w:t>
        <w:br/>
        <w:t xml:space="preserve">к Товару, и Применимого права, возможность эксплуатации (использования) Товара </w:t>
        <w:br/>
        <w:t xml:space="preserve">в соответствии с его целевым назначением, а также несет безусловную ответственность </w:t>
        <w:br/>
        <w:t xml:space="preserve">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w:t>
        <w:br/>
        <w:t xml:space="preserve">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w:t>
        <w:br/>
        <w:t>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5"/>
      <w:bookmarkStart w:id="5" w:name="OLE_LINK6"/>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w:t>
        <w:br/>
        <w:t xml:space="preserve">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предоставить Покупателю копию(-и) заключения(-ий) </w:t>
        <w:br/>
        <w:t xml:space="preserve">о подтверждении производства Товара на территории Российской Федерации, </w:t>
        <w:br/>
        <w:t>выданного(-ых) Минпромторгом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не позднее 6 (шести) месяцев после окончания установленного Договором срока поставки Товара</w:t>
      </w:r>
      <w:r>
        <w:rPr>
          <w:rStyle w:val="FootnoteReference"/>
          <w:sz w:val="24"/>
          <w:szCs w:val="24"/>
        </w:rPr>
        <w:footnoteReference w:id="6"/>
      </w:r>
      <w:r>
        <w:rPr>
          <w:sz w:val="24"/>
          <w:szCs w:val="24"/>
        </w:rPr>
        <w:t>.</w:t>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Банковские гарантии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предоставляемая Поставщиком Покупателю по Договору, должна соответствовать следующим требованиям: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быть безотзывной и безусловной (гарантия </w:t>
        <w:br/>
        <w:t>по первому требованию).</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Бенефициар по Банковской гарантии – Покупатель, принципал – Поставщик.</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Сумма Банковской гарантии – выражена в валюте расчетов по Договору.</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Сумма Банковской гарантии возврата авансового платежа – не менее </w:t>
        <w:br/>
        <w:t xml:space="preserve">100 (ста) процентов от размера уплачиваемой по Договору предварительной оплаты (аванса) </w:t>
        <w:br/>
        <w:t xml:space="preserve">в совокупной сумме с учетом ранее выплаченных Поставщику и непогашенных (незачтенных) авансовых платежей.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br/>
        <w:t>о предъявлении суммы обеспечения к оплате</w:t>
      </w:r>
      <w:r>
        <w:rPr>
          <w:sz w:val="24"/>
          <w:szCs w:val="24"/>
        </w:rPr>
        <w:t xml:space="preserve"> </w:t>
      </w:r>
      <w:r>
        <w:rPr>
          <w:bCs/>
          <w:sz w:val="24"/>
          <w:szCs w:val="24"/>
        </w:rPr>
        <w:t xml:space="preserve">как полностью, так и частично, с указанием </w:t>
        <w:br/>
        <w:t>на существо допущенных Поставщиком нарушений, в том числе в случаях:</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нарушения Поставщиком срока</w:t>
      </w:r>
      <w:r>
        <w:rPr>
          <w:sz w:val="24"/>
          <w:szCs w:val="24"/>
        </w:rPr>
        <w:t xml:space="preserve"> </w:t>
      </w:r>
      <w:r>
        <w:rPr>
          <w:bCs/>
          <w:sz w:val="24"/>
          <w:szCs w:val="24"/>
        </w:rPr>
        <w:t>поставки Товара, установленного пунктом 1.4 Договора более, чем на 60 (шестьдесят) календарных дней;</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br/>
      </w:r>
      <w:r>
        <w:rPr>
          <w:bCs/>
          <w:sz w:val="24"/>
          <w:szCs w:val="24"/>
        </w:rPr>
        <w:t>в отношении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w:t>
        <w:br/>
        <w:t>по Договору превышает срок действия банковской гарантии либо срок исполнения обязательств продлен;</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pPr>
        <w:pStyle w:val="Normal"/>
        <w:widowControl/>
        <w:shd w:val="clear" w:color="auto" w:fill="FFFFFF"/>
        <w:tabs>
          <w:tab w:val="clear" w:pos="709"/>
          <w:tab w:val="left" w:pos="1418" w:leader="none"/>
          <w:tab w:val="left" w:pos="1855" w:leader="none"/>
        </w:tabs>
        <w:ind w:firstLine="709"/>
        <w:jc w:val="both"/>
        <w:rPr>
          <w:bCs/>
          <w:sz w:val="24"/>
        </w:rPr>
      </w:pPr>
      <w:r>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pPr>
        <w:pStyle w:val="ListParagraph"/>
        <w:widowControl/>
        <w:numPr>
          <w:ilvl w:val="0"/>
          <w:numId w:val="0"/>
        </w:numPr>
        <w:shd w:val="clear" w:color="auto" w:fill="FFFFFF"/>
        <w:tabs>
          <w:tab w:val="clear" w:pos="709"/>
          <w:tab w:val="left" w:pos="1418" w:leader="none"/>
        </w:tabs>
        <w:suppressAutoHyphens w:val="true"/>
        <w:bidi w:val="0"/>
        <w:spacing w:lineRule="auto" w:line="240" w:before="0" w:after="0"/>
        <w:ind w:left="0" w:firstLine="709"/>
        <w:contextualSpacing/>
        <w:jc w:val="both"/>
        <w:rPr>
          <w:bCs/>
        </w:rPr>
      </w:pPr>
      <w:r>
        <w:rPr>
          <w:rFonts w:eastAsia="Times New Roman" w:cs="Times New Roman"/>
          <w:bCs/>
          <w:color w:val="000000"/>
          <w:kern w:val="0"/>
          <w:sz w:val="24"/>
          <w:szCs w:val="24"/>
          <w:shd w:fill="auto" w:val="clear"/>
          <w:lang w:val="ru-RU" w:eastAsia="ru-RU" w:bidi="ar-SA"/>
        </w:rPr>
        <w:t xml:space="preserve">Банковской гарантией возврата предварительной оплаты (аванса) / надлежащего исполнения обязательств / гарантийных обязательств по Договору должно быть предусмотрено условие о праве Бенефициара направлять требование об уплате денежной суммы по Банковской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t>
      </w:r>
    </w:p>
    <w:p>
      <w:pPr>
        <w:pStyle w:val="Normal"/>
        <w:spacing w:lineRule="auto" w:line="240" w:before="0" w:after="0"/>
        <w:ind w:firstLine="709"/>
        <w:jc w:val="both"/>
        <w:rPr>
          <w:rFonts w:ascii="Times New Roman" w:hAnsi="Times New Roman" w:eastAsia="Times New Roman" w:cs="Times New Roman"/>
          <w:bCs/>
          <w:color w:val="auto"/>
          <w:kern w:val="0"/>
          <w:sz w:val="24"/>
          <w:szCs w:val="24"/>
          <w:highlight w:val="none"/>
          <w:shd w:fill="FFFF00" w:val="clear"/>
          <w:lang w:val="ru-RU" w:eastAsia="ru-RU" w:bidi="ar-SA"/>
        </w:rPr>
      </w:pPr>
      <w:r>
        <w:rPr>
          <w:rFonts w:eastAsia="Times New Roman" w:cs="Times New Roman"/>
          <w:bCs/>
          <w:color w:val="000000"/>
          <w:kern w:val="0"/>
          <w:sz w:val="24"/>
          <w:szCs w:val="24"/>
          <w:shd w:fill="auto" w:val="clear"/>
          <w:lang w:val="ru-RU" w:eastAsia="ru-RU" w:bidi="ar-SA"/>
        </w:rPr>
        <w:t xml:space="preserve">Выбор формы направления такого требования осуществляется Бенефициаром самостоятельно. </w:t>
      </w:r>
      <w:r>
        <w:rPr>
          <w:bCs/>
          <w:sz w:val="24"/>
          <w:szCs w:val="24"/>
        </w:rPr>
        <w:t>Платеж по Банковской гарантии – осуществляется Банком-Гарантом в течение 10 (десяти) рабочих дней после обращения Покупателя.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Срок окончания действия Банковской гарантии – не ранее 70 (семидесяти) календарных дней после наступления даты поставки Товара.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br/>
        <w:t>по Банковской гарантии.</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widowControl/>
        <w:numPr>
          <w:ilvl w:val="2"/>
          <w:numId w:val="2"/>
        </w:numPr>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5.1.8 Договора, или делающих такие требования неисполнимыми.</w:t>
      </w:r>
    </w:p>
    <w:p>
      <w:pPr>
        <w:pStyle w:val="ListParagraph"/>
        <w:widowControl/>
        <w:numPr>
          <w:ilvl w:val="2"/>
          <w:numId w:val="2"/>
        </w:numPr>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Банковские гарантии, предусмотренные настоящим разделом Договора, предоставляются (по выбору Заказчика): </w:t>
      </w:r>
    </w:p>
    <w:p>
      <w:pPr>
        <w:pStyle w:val="ListParagraph"/>
        <w:widowControl/>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в электронной форме с использованием программно-аппаратных средств информационной системы электронного документооборота общего пользования путем ее подписания усиленной квалифицированной электронной подписью уполномоченного представителя Банка-гаранта / иным способом предусмотренным законодательством Российской Федерации; либо</w:t>
      </w:r>
    </w:p>
    <w:p>
      <w:pPr>
        <w:pStyle w:val="ListParagraph"/>
        <w:widowControl/>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в оригинале на бумажном носителе.</w:t>
      </w:r>
    </w:p>
    <w:p>
      <w:pPr>
        <w:pStyle w:val="Normal"/>
        <w:widowControl/>
        <w:numPr>
          <w:ilvl w:val="1"/>
          <w:numId w:val="2"/>
        </w:numPr>
        <w:tabs>
          <w:tab w:val="clear" w:pos="709"/>
          <w:tab w:val="left" w:pos="0" w:leader="none"/>
          <w:tab w:val="left" w:pos="1134" w:leader="none"/>
        </w:tabs>
        <w:ind w:left="0" w:firstLine="709"/>
        <w:jc w:val="both"/>
        <w:rPr>
          <w:bCs/>
          <w:sz w:val="24"/>
          <w:szCs w:val="24"/>
        </w:rPr>
      </w:pPr>
      <w:r>
        <w:rPr>
          <w:bCs/>
          <w:sz w:val="24"/>
          <w:szCs w:val="24"/>
        </w:rPr>
        <w:t>Банк-Гарант, выдавший Банковскую гарантию, должен соответствовать критериям, установленным в Приложении № 3 к Договору.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Сумма Банковской гарантии возврата авансового платежа по согласованию </w:t>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случаях</w:t>
      </w:r>
      <w:r>
        <w:rPr>
          <w:bCs/>
          <w:sz w:val="24"/>
          <w:szCs w:val="24"/>
          <w:lang w:val="en-US"/>
        </w:rPr>
        <w:t>:</w:t>
      </w:r>
      <w:r>
        <w:rPr>
          <w:bCs/>
          <w:sz w:val="24"/>
          <w:szCs w:val="24"/>
        </w:rPr>
        <w:t xml:space="preserve"> </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pPr>
        <w:pStyle w:val="ListParagraph"/>
        <w:shd w:val="clear" w:color="auto" w:fill="FFFFFF"/>
        <w:tabs>
          <w:tab w:val="clear" w:pos="709"/>
          <w:tab w:val="left" w:pos="0" w:leader="none"/>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pPr>
        <w:pStyle w:val="ListParagraph"/>
        <w:shd w:val="clear" w:color="auto" w:fill="FFFFFF"/>
        <w:tabs>
          <w:tab w:val="clear" w:pos="709"/>
          <w:tab w:val="left" w:pos="0" w:leader="none"/>
        </w:tabs>
        <w:ind w:lef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w:t>
      </w:r>
      <w:r>
        <w:rPr>
          <w:rStyle w:val="FootnoteReference"/>
          <w:sz w:val="24"/>
          <w:szCs w:val="24"/>
        </w:rPr>
        <w:footnoteReference w:id="7"/>
      </w:r>
      <w:r>
        <w:rPr>
          <w:bCs/>
          <w:sz w:val="24"/>
          <w:szCs w:val="24"/>
        </w:rPr>
        <w:t xml:space="preserve"> при выплате каждого платежа, причитающегося Поставщику, до полного зачета непогашенного (незачтенного) аванса, </w:t>
      </w:r>
      <w:r>
        <w:rPr>
          <w:sz w:val="24"/>
          <w:szCs w:val="24"/>
        </w:rPr>
        <w:t>при выплате каждого платежа, причитающегося Поставщику.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Положения пункта 2.5.1 Договора применяются, если совокупный размер авансовых платежей, уплаченных и подлежащих уплате по Договору в соответствии </w:t>
        <w:br/>
        <w:t xml:space="preserve">с выставленными счетами Поставщика составляет 5 000 000 (Пять миллионов) рублей </w:t>
        <w:br/>
        <w:t xml:space="preserve">и более без учета НДС. </w:t>
      </w:r>
    </w:p>
    <w:p>
      <w:pPr>
        <w:pStyle w:val="ListParagraph"/>
        <w:widowControl/>
        <w:numPr>
          <w:ilvl w:val="1"/>
          <w:numId w:val="2"/>
        </w:numPr>
        <w:shd w:val="clear" w:color="auto" w:fill="FFFFFF"/>
        <w:tabs>
          <w:tab w:val="clear" w:pos="709"/>
          <w:tab w:val="left" w:pos="1134" w:leader="none"/>
          <w:tab w:val="left" w:pos="1985" w:leader="none"/>
        </w:tabs>
        <w:ind w:left="0" w:firstLine="709"/>
        <w:jc w:val="both"/>
        <w:rPr>
          <w:highlight w:val="none"/>
          <w:shd w:fill="auto" w:val="clear"/>
        </w:rPr>
      </w:pPr>
      <w:r>
        <w:rPr>
          <w:sz w:val="24"/>
          <w:szCs w:val="24"/>
          <w:shd w:fill="auto" w:val="clear"/>
        </w:rPr>
        <w:t xml:space="preserve">Стороны вправе изменить способы и порядок обеспечения обязательств </w:t>
        <w:br/>
        <w:t>по Договору, указанные в настоящем разделе, путем подписания дополнительного соглашения к Договору</w:t>
      </w:r>
      <w:r>
        <w:rPr>
          <w:rStyle w:val="FootnoteReference"/>
          <w:sz w:val="24"/>
          <w:szCs w:val="24"/>
          <w:shd w:fill="auto" w:val="clear"/>
        </w:rPr>
        <w:footnoteReference w:id="8"/>
      </w:r>
      <w:r>
        <w:rPr>
          <w:sz w:val="24"/>
          <w:szCs w:val="24"/>
          <w:shd w:fill="auto" w:val="clear"/>
        </w:rPr>
        <w:t>.</w:t>
      </w:r>
    </w:p>
    <w:p>
      <w:pPr>
        <w:pStyle w:val="ListParagraph"/>
        <w:widowControl/>
        <w:numPr>
          <w:ilvl w:val="1"/>
          <w:numId w:val="2"/>
        </w:numPr>
        <w:shd w:val="clear" w:color="auto" w:fill="FFFFFF"/>
        <w:tabs>
          <w:tab w:val="clear" w:pos="709"/>
        </w:tabs>
        <w:ind w:left="0" w:firstLine="709"/>
        <w:jc w:val="both"/>
        <w:rPr>
          <w:bCs/>
          <w:sz w:val="24"/>
          <w:szCs w:val="24"/>
        </w:rPr>
      </w:pPr>
      <w:r>
        <w:rPr>
          <w:sz w:val="24"/>
        </w:rPr>
        <w:t xml:space="preserve">Принадлежащее Покупателю по Банковской гарантии право требования </w:t>
        <w:br/>
        <w:t>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pPr>
        <w:pStyle w:val="Normal"/>
        <w:widowControl/>
        <w:shd w:val="clear" w:color="auto" w:fill="FFFFFF"/>
        <w:tabs>
          <w:tab w:val="clear" w:pos="709"/>
          <w:tab w:val="left" w:pos="0" w:leader="none"/>
          <w:tab w:val="left" w:pos="1134" w:leader="none"/>
        </w:tabs>
        <w:ind w:left="1419" w:hanging="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276" w:leader="none"/>
        </w:tabs>
        <w:ind w:left="0" w:firstLine="709"/>
        <w:jc w:val="both"/>
        <w:rPr>
          <w:sz w:val="24"/>
          <w:szCs w:val="24"/>
        </w:rPr>
      </w:pPr>
      <w:r>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w:t>
        <w:br/>
        <w:t xml:space="preserve">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одной десятой) процента от несвоевременно оплаченной суммы за каждый день просрочки.</w:t>
      </w:r>
    </w:p>
    <w:p>
      <w:pPr>
        <w:pStyle w:val="Normal"/>
        <w:widowControl/>
        <w:numPr>
          <w:ilvl w:val="1"/>
          <w:numId w:val="2"/>
        </w:numPr>
        <w:tabs>
          <w:tab w:val="clear" w:pos="709"/>
          <w:tab w:val="left" w:pos="1276" w:leader="none"/>
        </w:tabs>
        <w:ind w:left="0" w:firstLine="709"/>
        <w:jc w:val="both"/>
        <w:rPr>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требовать уплаты Поставщиком неустойки в размере 0,1 (ноль целых и одной десятой) процента от Цены Договора за каждый день просрочки.</w:t>
      </w:r>
    </w:p>
    <w:p>
      <w:pPr>
        <w:pStyle w:val="ListParagraph"/>
        <w:widowControl/>
        <w:numPr>
          <w:ilvl w:val="1"/>
          <w:numId w:val="15"/>
        </w:numPr>
        <w:tabs>
          <w:tab w:val="clear" w:pos="709"/>
          <w:tab w:val="left" w:pos="1276" w:leader="none"/>
        </w:tabs>
        <w:ind w:left="0" w:firstLine="709"/>
        <w:jc w:val="both"/>
        <w:rPr>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pPr>
        <w:pStyle w:val="ListParagraph"/>
        <w:widowControl/>
        <w:numPr>
          <w:ilvl w:val="2"/>
          <w:numId w:val="15"/>
        </w:numPr>
        <w:ind w:left="0" w:firstLine="709"/>
        <w:jc w:val="both"/>
        <w:rPr>
          <w:sz w:val="24"/>
          <w:szCs w:val="24"/>
        </w:rPr>
      </w:pPr>
      <w:r>
        <w:rPr>
          <w:sz w:val="24"/>
          <w:szCs w:val="24"/>
        </w:rPr>
        <w:t xml:space="preserve">Неустойки в размере 0,1 (ноль целых и одной десятой)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w:t>
        <w:br/>
        <w:t>в целом.</w:t>
      </w:r>
    </w:p>
    <w:p>
      <w:pPr>
        <w:pStyle w:val="ListParagraph"/>
        <w:widowControl/>
        <w:numPr>
          <w:ilvl w:val="2"/>
          <w:numId w:val="15"/>
        </w:numPr>
        <w:ind w:left="0" w:firstLine="709"/>
        <w:jc w:val="both"/>
        <w:rPr>
          <w:sz w:val="24"/>
          <w:szCs w:val="24"/>
        </w:rPr>
      </w:pPr>
      <w:r>
        <w:rPr>
          <w:sz w:val="24"/>
          <w:szCs w:val="24"/>
        </w:rPr>
        <w:t>Неустойки в размере 0,1 (ноль целых и одной десятой)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widowControl/>
        <w:numPr>
          <w:ilvl w:val="1"/>
          <w:numId w:val="15"/>
        </w:numPr>
        <w:tabs>
          <w:tab w:val="clear" w:pos="709"/>
          <w:tab w:val="left" w:pos="1276" w:leader="none"/>
          <w:tab w:val="left" w:pos="1701" w:leader="none"/>
        </w:tabs>
        <w:ind w:left="0" w:firstLine="709"/>
        <w:jc w:val="both"/>
        <w:rPr>
          <w:sz w:val="24"/>
          <w:szCs w:val="24"/>
        </w:rPr>
      </w:pPr>
      <w:r>
        <w:rPr>
          <w:rFonts w:eastAsia="Calibri"/>
          <w:bCs/>
          <w:sz w:val="24"/>
          <w:szCs w:val="24"/>
        </w:rPr>
        <w:t xml:space="preserve">На сумму подлежащего возврату аванса начисляется неустойка в размере </w:t>
        <w:br/>
        <w:t>0,1 (ноль целых и одной десятой) процента с даты, установленной для возврата аванса</w:t>
      </w:r>
      <w:r>
        <w:rPr>
          <w:sz w:val="24"/>
          <w:szCs w:val="24"/>
        </w:rPr>
        <w:t>.</w:t>
      </w:r>
    </w:p>
    <w:p>
      <w:pPr>
        <w:pStyle w:val="ListParagraph"/>
        <w:widowControl/>
        <w:numPr>
          <w:ilvl w:val="1"/>
          <w:numId w:val="15"/>
        </w:numPr>
        <w:shd w:val="clear" w:color="auto" w:fill="FFFFFF"/>
        <w:tabs>
          <w:tab w:val="clear" w:pos="709"/>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w:t>
        <w:br/>
        <w:t xml:space="preserve">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4 к Договору. </w:t>
      </w:r>
    </w:p>
    <w:p>
      <w:pPr>
        <w:pStyle w:val="ListParagraph"/>
        <w:widowControl/>
        <w:numPr>
          <w:ilvl w:val="1"/>
          <w:numId w:val="15"/>
        </w:numPr>
        <w:shd w:val="clear" w:color="auto" w:fill="FFFFFF"/>
        <w:tabs>
          <w:tab w:val="clear" w:pos="709"/>
          <w:tab w:val="left" w:pos="1276" w:leader="none"/>
        </w:tabs>
        <w:ind w:left="0" w:firstLine="709"/>
        <w:jc w:val="both"/>
        <w:rPr>
          <w:bCs/>
          <w:sz w:val="24"/>
          <w:szCs w:val="24"/>
        </w:rPr>
      </w:pPr>
      <w:r>
        <w:rPr>
          <w:bCs/>
          <w:sz w:val="24"/>
          <w:szCs w:val="24"/>
        </w:rPr>
        <w:t>Если в результате составления и выставления Поставщиком счетов-фактур/УПД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ind w:left="0" w:firstLine="709"/>
        <w:jc w:val="both"/>
        <w:rPr>
          <w:bCs/>
          <w:sz w:val="24"/>
          <w:szCs w:val="24"/>
        </w:rPr>
      </w:pPr>
      <w:r>
        <w:rPr>
          <w:bCs/>
          <w:sz w:val="24"/>
          <w:szCs w:val="24"/>
        </w:rPr>
        <w:t>В случае нарушения Поставщиком сроков предоставления счетов-фактур/УПД, установленных пунктом 2.8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15"/>
        </w:numPr>
        <w:shd w:val="clear" w:color="auto" w:fill="FFFFFF"/>
        <w:ind w:left="0" w:firstLine="709"/>
        <w:jc w:val="both"/>
        <w:rPr>
          <w:bCs/>
          <w:sz w:val="24"/>
          <w:szCs w:val="24"/>
        </w:rPr>
      </w:pPr>
      <w:r>
        <w:rPr>
          <w:bCs/>
          <w:sz w:val="24"/>
          <w:szCs w:val="24"/>
        </w:rPr>
        <w:t>За непредоставление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и трех сотых) процента от Цены Договора за каждый день просрочки.</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15"/>
        </w:numPr>
        <w:shd w:val="clear" w:color="auto" w:fill="FFFFFF"/>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15"/>
        </w:numPr>
        <w:shd w:val="clear" w:color="auto" w:fill="FFFFFF"/>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В случае нарушения Поставщиком срока предоставления документов, установленного пунктом 4.8 Договора (если такое нарушение привело к невыполнению Покупателем требований по локализации оборудования, установленных законодательством Российской Федерации к оборудованию, эксплуатируемому по итогам модернизации (реконструкции) или строительства генерирующих объектов тепловых электростанций </w:t>
        <w:br/>
        <w:t>в неценовых зонах оптового рынка), Покупатель вправе требовать уплаты Поставщиком  штрафа в размере 10 (десяти) процентов от стоимости Товара. Покупатель вправе удержать сумму такого штрафа из любого платежа, причитающегося Поставщику по Договору</w:t>
      </w:r>
      <w:r>
        <w:rPr>
          <w:rStyle w:val="FootnoteReference"/>
          <w:bCs/>
          <w:sz w:val="24"/>
          <w:szCs w:val="24"/>
        </w:rPr>
        <w:footnoteReference w:id="9"/>
      </w:r>
      <w:r>
        <w:rPr>
          <w:bCs/>
          <w:sz w:val="24"/>
          <w:szCs w:val="24"/>
        </w:rPr>
        <w:t>.</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s>
        <w:ind w:left="0" w:hanging="36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w:t>
        <w:br/>
        <w:t>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7"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7"/>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8"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8"/>
    </w:p>
    <w:p>
      <w:pPr>
        <w:pStyle w:val="Normal"/>
        <w:numPr>
          <w:ilvl w:val="1"/>
          <w:numId w:val="2"/>
        </w:numPr>
        <w:shd w:val="clear" w:color="auto" w:fill="FFFFFF"/>
        <w:tabs>
          <w:tab w:val="clear" w:pos="709"/>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ListParagraph"/>
        <w:widowControl/>
        <w:shd w:val="clear" w:color="auto" w:fill="FFFFFF"/>
        <w:tabs>
          <w:tab w:val="clear" w:pos="709"/>
          <w:tab w:val="left" w:pos="1134"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s>
        <w:ind w:left="0" w:firstLine="709"/>
        <w:jc w:val="both"/>
        <w:rPr>
          <w:bCs/>
          <w:sz w:val="24"/>
          <w:szCs w:val="24"/>
        </w:rPr>
      </w:pPr>
      <w:r>
        <w:rPr>
          <w:bCs/>
          <w:sz w:val="24"/>
          <w:szCs w:val="24"/>
        </w:rPr>
        <w:t xml:space="preserve">Споры, указанные в пункте 8.1 Договора, которые не были урегулированы Сторонами путем переговоров, подлежат разрешению в Арбитражном суде </w:t>
      </w:r>
      <w:r>
        <w:rPr>
          <w:bCs/>
          <w:sz w:val="24"/>
          <w:szCs w:val="24"/>
          <w:shd w:fill="auto" w:val="clear"/>
        </w:rPr>
        <w:t xml:space="preserve">Амурской области </w:t>
      </w:r>
      <w:r>
        <w:rPr>
          <w:bCs/>
          <w:sz w:val="24"/>
          <w:szCs w:val="24"/>
        </w:rPr>
        <w:t xml:space="preserve">в соответствии с законодательством Российской Федерации, </w:t>
        <w:br/>
        <w:t>за исключением споров из Банковской гарантии, подсудность которых предусмотрена пунктом 5.1.9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sz w:val="24"/>
          <w:szCs w:val="24"/>
          <w:shd w:fill="auto" w:val="clear"/>
        </w:rPr>
        <w:t>14.8</w:t>
      </w:r>
      <w:r>
        <w:rPr>
          <w:bCs/>
          <w:sz w:val="24"/>
          <w:szCs w:val="24"/>
        </w:rPr>
        <w:t xml:space="preserve">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Договора сохраняют свою силу в случае признания Договора незаключенным и / или недействительным.</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w:t>
        <w:br/>
        <w:t>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w:t>
        <w:br/>
        <w:t>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9.3. В случае возникновения у любой Стороны обоснованных предположений, что </w:t>
        <w:br/>
        <w:t xml:space="preserve">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w:t>
        <w:br/>
        <w:t>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w:t>
        <w:br/>
        <w:t>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br/>
        <w:t xml:space="preserve">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w:t>
        <w:br/>
        <w:t xml:space="preserve">не позднее 5 (пяти)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9.7. Каналы связи Линии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 xml:space="preserve">9.7.2. Специальная форма «обратной связи», размещенная на официальном сайте </w:t>
        <w:br/>
        <w:t>ПАО «РусГидро»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Надлежащим (достаточным) доказательством наличия / возникновения </w:t>
        <w:br/>
        <w:t xml:space="preserve">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w:t>
        <w:br/>
        <w:t>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spacing w:lineRule="auto" w:line="259" w:before="0" w:after="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w:t>
        <w:br/>
        <w:t xml:space="preserve">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самостоятельной оценки рисков налогоплательщиков, используемым налоговыми органами в процессе отбора объектов для проведения выездных налоговых проверок (утв. приказом ФНС России от 30.05.2007 № ММ-3-06/333).</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Поставщик обязуется незамедлительно уведомить Покупателя о появлении </w:t>
        <w:br/>
        <w:t>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w:t>
        <w:br/>
        <w:t>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Покупатель вправе приостановить осуществление любых платежей </w:t>
        <w:br/>
        <w:t>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36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 xml:space="preserve">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w:t>
        <w:br/>
        <w:t>и трудности исполнения обязательств, возникающих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письменному требованию Покупателя уплатить последнему штраф </w:t>
        <w:br/>
        <w:t>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w:t>
        <w:br/>
        <w:t>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shd w:fill="auto" w:val="clear"/>
        </w:rPr>
        <w:t>14.8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 xml:space="preserve">Покупатель одновременно с уведомлением об отказе от Договора (исполнения Договора) направляет Поставщику письменное требование о возмещении убытков </w:t>
        <w:br/>
        <w:t xml:space="preserve">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w:t>
        <w:br/>
        <w:t>от Покупателя.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нарушение Поставщиком общего срока поставки Товара по Договору, а также промежуточных сроков поставки Товара, установленных Договором, более чем </w:t>
        <w:br/>
        <w:t>на 60 (шестьдесят) календарных дней по причинам, не зависящим от Покупателя;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w:t>
        <w:br/>
        <w:t xml:space="preserve">от Договора (исполнения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0" w:leader="none"/>
        </w:tabs>
        <w:ind w:left="709" w:hanging="0"/>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r>
        <w:rPr>
          <w:sz w:val="24"/>
          <w:szCs w:val="24"/>
          <w:shd w:fill="auto" w:val="clear"/>
        </w:rPr>
        <w:t xml:space="preserve">В соответствии с пунктом 2 статьи 425 ГК РФ, условия Договора применяются к отношениям Сторон, возникшим </w:t>
        <w:br/>
        <w:t>с __________.</w:t>
      </w:r>
    </w:p>
    <w:p>
      <w:pPr>
        <w:pStyle w:val="Normal"/>
        <w:widowControl/>
        <w:numPr>
          <w:ilvl w:val="1"/>
          <w:numId w:val="2"/>
        </w:numPr>
        <w:tabs>
          <w:tab w:val="clear" w:pos="709"/>
          <w:tab w:val="left" w:pos="142" w:leader="none"/>
          <w:tab w:val="left" w:pos="1418" w:leader="none"/>
        </w:tabs>
        <w:snapToGrid w:val="false"/>
        <w:ind w:left="0" w:firstLine="709"/>
        <w:jc w:val="both"/>
        <w:rPr>
          <w:highlight w:val="none"/>
          <w:shd w:fill="auto" w:val="clear"/>
        </w:rPr>
      </w:pPr>
      <w:r>
        <w:rPr>
          <w:sz w:val="24"/>
          <w:szCs w:val="24"/>
          <w:shd w:fill="auto" w:val="clear"/>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tabs>
          <w:tab w:val="clear" w:pos="709"/>
          <w:tab w:val="left" w:pos="142" w:leader="none"/>
        </w:tabs>
        <w:ind w:firstLine="709"/>
        <w:jc w:val="both"/>
        <w:rPr>
          <w:highlight w:val="none"/>
          <w:shd w:fill="auto" w:val="clear"/>
        </w:rPr>
      </w:pPr>
      <w:r>
        <w:rPr>
          <w:sz w:val="24"/>
          <w:szCs w:val="24"/>
          <w:shd w:fill="auto" w:val="clear"/>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shd w:fill="auto" w:val="clear"/>
          <w:lang w:eastAsia="en-US"/>
        </w:rPr>
        <w:footnoteReference w:id="10"/>
      </w:r>
      <w:r>
        <w:rPr>
          <w:sz w:val="24"/>
          <w:szCs w:val="24"/>
          <w:shd w:fill="auto" w:val="clear"/>
          <w:lang w:eastAsia="en-US"/>
        </w:rPr>
        <w:t>.</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shd w:fill="auto" w:val="clear"/>
        </w:rPr>
        <w:t>14.7</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 xml:space="preserve">в письменной форме в порядке, предусмотренном пунктом </w:t>
      </w:r>
      <w:r>
        <w:rPr>
          <w:sz w:val="24"/>
          <w:szCs w:val="24"/>
          <w:shd w:fill="auto" w:val="clear"/>
        </w:rPr>
        <w:t>14.8</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9" w:name="_Ref361338004"/>
      <w:r>
        <w:rPr>
          <w:sz w:val="24"/>
          <w:szCs w:val="24"/>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sz w:val="24"/>
          <w:szCs w:val="24"/>
          <w:shd w:fill="auto" w:val="clear"/>
        </w:rPr>
        <w:t>14.8</w:t>
      </w:r>
      <w:r>
        <w:rPr>
          <w:sz w:val="24"/>
          <w:szCs w:val="24"/>
        </w:rPr>
        <w:t xml:space="preserve"> Договора.</w:t>
      </w:r>
      <w:bookmarkEnd w:id="9"/>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shd w:fill="auto" w:val="clear"/>
        </w:rPr>
        <w:t>14.8.1 – 14.8.2</w:t>
      </w:r>
      <w:r>
        <w:rPr>
          <w:bCs/>
          <w:sz w:val="24"/>
          <w:szCs w:val="24"/>
        </w:rPr>
        <w:t xml:space="preserve"> Договора. </w:t>
      </w:r>
    </w:p>
    <w:p>
      <w:pPr>
        <w:pStyle w:val="Normal"/>
        <w:widowControl/>
        <w:numPr>
          <w:ilvl w:val="1"/>
          <w:numId w:val="2"/>
        </w:numPr>
        <w:tabs>
          <w:tab w:val="clear" w:pos="709"/>
          <w:tab w:val="left" w:pos="0" w:leader="none"/>
          <w:tab w:val="left" w:pos="1418" w:leader="none"/>
          <w:tab w:val="left" w:pos="1985"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 w:val="left" w:pos="1985"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rStyle w:val="FootnoteReference"/>
          <w:sz w:val="24"/>
          <w:szCs w:val="24"/>
        </w:rPr>
        <w:footnoteReference w:id="11"/>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FootnoteReference"/>
          <w:sz w:val="24"/>
          <w:szCs w:val="24"/>
          <w:highlight w:val="lightGray"/>
        </w:rPr>
        <w:footnoteReference w:id="12"/>
      </w:r>
      <w:r>
        <w:rPr>
          <w:sz w:val="24"/>
          <w:szCs w:val="24"/>
          <w:highlight w:val="lightGray"/>
        </w:rPr>
        <w:t>.</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lineRule="auto" w:line="259" w:before="0" w:after="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10"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suppressAutoHyphens w:val="true"/>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pPr>
        <w:pStyle w:val="Normal"/>
        <w:widowControl/>
        <w:shd w:val="clear" w:color="auto" w:fill="FFFFFF"/>
        <w:tabs>
          <w:tab w:val="clear" w:pos="709"/>
          <w:tab w:val="left" w:pos="0" w:leader="none"/>
          <w:tab w:val="left" w:pos="2694" w:leader="none"/>
        </w:tabs>
        <w:suppressAutoHyphens w:val="true"/>
        <w:ind w:firstLine="709"/>
        <w:jc w:val="both"/>
        <w:rPr>
          <w:sz w:val="24"/>
          <w:szCs w:val="24"/>
        </w:rPr>
      </w:pPr>
      <w:r>
        <w:rPr>
          <w:sz w:val="24"/>
          <w:szCs w:val="24"/>
          <w:lang w:eastAsia="x-none"/>
        </w:rPr>
        <w:t>Приложение № 3 –</w:t>
      </w:r>
      <w:r>
        <w:rPr>
          <w:rFonts w:eastAsia="Calibri"/>
          <w:sz w:val="24"/>
          <w:szCs w:val="24"/>
          <w:lang w:eastAsia="en-US"/>
        </w:rPr>
        <w:t xml:space="preserve"> Критерии отбора Банков-Гарантов.</w:t>
      </w:r>
      <w:bookmarkEnd w:id="10"/>
    </w:p>
    <w:p>
      <w:pPr>
        <w:pStyle w:val="Normal"/>
        <w:ind w:firstLine="709"/>
        <w:jc w:val="both"/>
        <w:rPr>
          <w:bCs/>
          <w:sz w:val="24"/>
          <w:szCs w:val="24"/>
        </w:rPr>
      </w:pPr>
      <w:r>
        <w:rPr>
          <w:bCs/>
          <w:sz w:val="24"/>
          <w:szCs w:val="24"/>
        </w:rPr>
        <w:t xml:space="preserve">Приложение № 4 </w:t>
      </w:r>
      <w:r>
        <w:rPr>
          <w:rFonts w:eastAsia="Calibri"/>
          <w:sz w:val="24"/>
          <w:szCs w:val="24"/>
          <w:lang w:eastAsia="en-US"/>
        </w:rPr>
        <w:t>–</w:t>
      </w:r>
      <w:r>
        <w:rPr>
          <w:bCs/>
          <w:sz w:val="24"/>
          <w:szCs w:val="24"/>
        </w:rPr>
        <w:t xml:space="preserve"> Размер ответственности Поставщика за нарушения пропускного </w:t>
        <w:br/>
        <w:t>и внутриобъектового режима, требований охраны труда, пожарной и промышленной безопасности.</w:t>
      </w:r>
    </w:p>
    <w:p>
      <w:pPr>
        <w:pStyle w:val="ListParagraph"/>
        <w:widowControl/>
        <w:numPr>
          <w:ilvl w:val="0"/>
          <w:numId w:val="2"/>
        </w:numPr>
        <w:shd w:val="clear" w:color="auto" w:fill="FFFFFF"/>
        <w:tabs>
          <w:tab w:val="clear" w:pos="709"/>
          <w:tab w:val="left" w:pos="426" w:leader="none"/>
        </w:tabs>
        <w:ind w:left="0" w:hanging="36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36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77"/>
        <w:gridCol w:w="151"/>
        <w:gridCol w:w="4635"/>
        <w:gridCol w:w="327"/>
      </w:tblGrid>
      <w:tr>
        <w:trPr/>
        <w:tc>
          <w:tcPr>
            <w:tcW w:w="4928" w:type="dxa"/>
            <w:gridSpan w:val="2"/>
            <w:tcBorders/>
          </w:tcPr>
          <w:p>
            <w:pPr>
              <w:pStyle w:val="Normal"/>
              <w:widowControl w:val="false"/>
              <w:rPr>
                <w:sz w:val="24"/>
                <w:szCs w:val="24"/>
              </w:rPr>
            </w:pPr>
            <w:r>
              <w:rPr>
                <w:sz w:val="24"/>
                <w:szCs w:val="24"/>
              </w:rPr>
              <w:t>ПОКУПАТЕЛЬ:</w:t>
            </w:r>
          </w:p>
        </w:tc>
        <w:tc>
          <w:tcPr>
            <w:tcW w:w="4962" w:type="dxa"/>
            <w:gridSpan w:val="2"/>
            <w:tcBorders/>
          </w:tcPr>
          <w:p>
            <w:pPr>
              <w:pStyle w:val="Normal"/>
              <w:widowControl w:val="false"/>
              <w:rPr>
                <w:sz w:val="24"/>
                <w:szCs w:val="24"/>
              </w:rPr>
            </w:pPr>
            <w:r>
              <w:rPr>
                <w:sz w:val="24"/>
                <w:szCs w:val="24"/>
              </w:rPr>
              <w:t>ПОСТАВЩИК:</w:t>
            </w:r>
          </w:p>
        </w:tc>
      </w:tr>
      <w:tr>
        <w:trPr/>
        <w:tc>
          <w:tcPr>
            <w:tcW w:w="4928" w:type="dxa"/>
            <w:gridSpan w:val="2"/>
            <w:tcBorders/>
            <w:shd w:color="auto" w:fill="BFBFBF" w:val="clear"/>
          </w:tcPr>
          <w:p>
            <w:pPr>
              <w:pStyle w:val="Normal"/>
              <w:widowControl w:val="false"/>
              <w:rPr>
                <w:sz w:val="24"/>
                <w:szCs w:val="24"/>
                <w:highlight w:val="none"/>
                <w:shd w:fill="auto" w:val="clear"/>
              </w:rPr>
            </w:pPr>
            <w:r>
              <w:rPr>
                <w:sz w:val="24"/>
                <w:szCs w:val="24"/>
                <w:shd w:fill="auto" w:val="clear"/>
              </w:rPr>
            </w:r>
          </w:p>
          <w:p>
            <w:pPr>
              <w:pStyle w:val="Normal"/>
              <w:widowControl w:val="false"/>
              <w:rPr>
                <w:highlight w:val="none"/>
                <w:shd w:fill="auto" w:val="clear"/>
              </w:rPr>
            </w:pPr>
            <w:r>
              <w:rPr>
                <w:b/>
                <w:sz w:val="24"/>
                <w:szCs w:val="24"/>
                <w:shd w:fill="auto" w:val="clear"/>
              </w:rPr>
              <w:t>Публичное акционерное общество</w:t>
            </w:r>
          </w:p>
          <w:p>
            <w:pPr>
              <w:pStyle w:val="Normal"/>
              <w:widowControl w:val="false"/>
              <w:rPr>
                <w:highlight w:val="none"/>
                <w:shd w:fill="auto" w:val="clear"/>
              </w:rPr>
            </w:pPr>
            <w:r>
              <w:rPr>
                <w:b/>
                <w:sz w:val="24"/>
                <w:szCs w:val="24"/>
                <w:shd w:fill="auto" w:val="clear"/>
              </w:rPr>
              <w:t>«Федеральная гидрогенерирующая компания - РусГидро» (ПАО «РусГидро»)</w:t>
            </w:r>
          </w:p>
          <w:p>
            <w:pPr>
              <w:pStyle w:val="Normal"/>
              <w:widowControl w:val="false"/>
              <w:rPr>
                <w:sz w:val="24"/>
                <w:szCs w:val="24"/>
                <w:highlight w:val="none"/>
                <w:shd w:fill="auto" w:val="clear"/>
              </w:rPr>
            </w:pPr>
            <w:r>
              <w:rPr>
                <w:sz w:val="24"/>
                <w:szCs w:val="24"/>
                <w:shd w:fill="auto" w:val="clear"/>
              </w:rPr>
            </w:r>
          </w:p>
          <w:p>
            <w:pPr>
              <w:pStyle w:val="Normal"/>
              <w:widowControl w:val="false"/>
              <w:spacing w:lineRule="auto" w:line="240"/>
              <w:ind w:hanging="0"/>
              <w:jc w:val="left"/>
              <w:rPr>
                <w:highlight w:val="none"/>
                <w:shd w:fill="auto" w:val="clear"/>
              </w:rPr>
            </w:pPr>
            <w:r>
              <w:rPr>
                <w:sz w:val="24"/>
                <w:szCs w:val="24"/>
                <w:shd w:fill="auto" w:val="clear"/>
              </w:rPr>
              <w:t>Юридический/Почтовый адрес: 660017, Красноярский край, г.о. город Красноярск,</w:t>
            </w:r>
          </w:p>
          <w:p>
            <w:pPr>
              <w:pStyle w:val="Normal"/>
              <w:widowControl w:val="false"/>
              <w:spacing w:lineRule="auto" w:line="240"/>
              <w:ind w:hanging="0"/>
              <w:jc w:val="left"/>
              <w:rPr>
                <w:highlight w:val="none"/>
                <w:shd w:fill="auto" w:val="clear"/>
              </w:rPr>
            </w:pPr>
            <w:r>
              <w:rPr>
                <w:sz w:val="24"/>
                <w:szCs w:val="24"/>
                <w:shd w:fill="auto" w:val="clear"/>
              </w:rPr>
              <w:t xml:space="preserve">г. Красноярск, ул. Перенсона, зд.2, помещ.1 </w:t>
            </w:r>
          </w:p>
          <w:p>
            <w:pPr>
              <w:pStyle w:val="Normal"/>
              <w:widowControl w:val="false"/>
              <w:rPr>
                <w:highlight w:val="none"/>
                <w:shd w:fill="auto" w:val="clear"/>
              </w:rPr>
            </w:pPr>
            <w:r>
              <w:rPr>
                <w:shd w:fill="auto" w:val="clear"/>
              </w:rPr>
            </w:r>
          </w:p>
          <w:p>
            <w:pPr>
              <w:pStyle w:val="Normal"/>
              <w:widowControl w:val="false"/>
              <w:rPr>
                <w:sz w:val="24"/>
                <w:szCs w:val="24"/>
                <w:highlight w:val="none"/>
                <w:shd w:fill="auto" w:val="clear"/>
              </w:rPr>
            </w:pPr>
            <w:r>
              <w:rPr>
                <w:sz w:val="24"/>
                <w:szCs w:val="24"/>
                <w:shd w:fill="auto" w:val="clear"/>
              </w:rPr>
            </w:r>
          </w:p>
          <w:p>
            <w:pPr>
              <w:pStyle w:val="Normal"/>
              <w:widowControl w:val="false"/>
              <w:rPr>
                <w:highlight w:val="none"/>
                <w:shd w:fill="auto" w:val="clear"/>
              </w:rPr>
            </w:pPr>
            <w:r>
              <w:rPr>
                <w:sz w:val="24"/>
                <w:szCs w:val="24"/>
                <w:shd w:fill="auto" w:val="clear"/>
              </w:rPr>
              <w:t xml:space="preserve">ОГРН 1042401810494, </w:t>
            </w:r>
          </w:p>
          <w:p>
            <w:pPr>
              <w:pStyle w:val="Normal"/>
              <w:widowControl w:val="false"/>
              <w:rPr>
                <w:highlight w:val="none"/>
                <w:shd w:fill="auto" w:val="clear"/>
              </w:rPr>
            </w:pPr>
            <w:r>
              <w:rPr>
                <w:sz w:val="24"/>
                <w:szCs w:val="24"/>
                <w:shd w:fill="auto" w:val="clear"/>
              </w:rPr>
              <w:t>ИНН 2460066195 / КПП 997650001</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расчетного счета)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(наименование банка, в котором</w:t>
            </w:r>
          </w:p>
          <w:p>
            <w:pPr>
              <w:pStyle w:val="Normal"/>
              <w:widowControl w:val="false"/>
              <w:rPr>
                <w:highlight w:val="none"/>
                <w:shd w:fill="auto" w:val="clear"/>
              </w:rPr>
            </w:pPr>
            <w:r>
              <w:rPr>
                <w:sz w:val="24"/>
                <w:szCs w:val="24"/>
                <w:shd w:fill="auto" w:val="clear"/>
              </w:rPr>
              <w:t>открыт расчетный счет)</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корреспондентского счета банка)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(БИК банка)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телефона)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факса)</w:t>
            </w:r>
          </w:p>
          <w:p>
            <w:pPr>
              <w:pStyle w:val="Normal"/>
              <w:widowControl w:val="false"/>
              <w:rPr>
                <w:sz w:val="24"/>
                <w:szCs w:val="24"/>
                <w:highlight w:val="none"/>
                <w:shd w:fill="auto" w:val="clear"/>
              </w:rPr>
            </w:pPr>
            <w:r>
              <w:rPr>
                <w:sz w:val="24"/>
                <w:szCs w:val="24"/>
                <w:shd w:fill="auto" w:val="clear"/>
              </w:rPr>
            </w:r>
          </w:p>
        </w:tc>
        <w:tc>
          <w:tcPr>
            <w:tcW w:w="4962" w:type="dxa"/>
            <w:gridSpan w:val="2"/>
            <w:tcBorders/>
            <w:shd w:color="auto" w:fill="BFBFBF" w:val="clear"/>
          </w:tcPr>
          <w:p>
            <w:pPr>
              <w:pStyle w:val="Normal"/>
              <w:widowControl w:val="false"/>
              <w:rPr>
                <w:sz w:val="24"/>
                <w:szCs w:val="24"/>
                <w:highlight w:val="none"/>
                <w:shd w:fill="auto" w:val="clear"/>
              </w:rPr>
            </w:pPr>
            <w:r>
              <w:rPr>
                <w:sz w:val="24"/>
                <w:szCs w:val="24"/>
                <w:shd w:fill="auto" w:val="clear"/>
              </w:rPr>
            </w:r>
          </w:p>
          <w:p>
            <w:pPr>
              <w:pStyle w:val="Normal"/>
              <w:widowControl w:val="false"/>
              <w:rPr>
                <w:sz w:val="24"/>
                <w:szCs w:val="24"/>
                <w:highlight w:val="none"/>
                <w:shd w:fill="auto" w:val="clear"/>
              </w:rPr>
            </w:pPr>
            <w:r>
              <w:rPr>
                <w:sz w:val="24"/>
                <w:szCs w:val="24"/>
                <w:shd w:fill="auto" w:val="clear"/>
              </w:rPr>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(наименование юридического лица)</w:t>
            </w:r>
          </w:p>
          <w:p>
            <w:pPr>
              <w:pStyle w:val="Normal"/>
              <w:widowControl w:val="false"/>
              <w:rPr>
                <w:sz w:val="24"/>
                <w:szCs w:val="24"/>
                <w:highlight w:val="none"/>
                <w:shd w:fill="auto" w:val="clear"/>
              </w:rPr>
            </w:pPr>
            <w:r>
              <w:rPr>
                <w:sz w:val="24"/>
                <w:szCs w:val="24"/>
                <w:shd w:fill="auto" w:val="clear"/>
              </w:rPr>
            </w:r>
          </w:p>
          <w:p>
            <w:pPr>
              <w:pStyle w:val="Normal"/>
              <w:widowControl w:val="false"/>
              <w:rPr>
                <w:highlight w:val="none"/>
                <w:shd w:fill="auto" w:val="clear"/>
              </w:rPr>
            </w:pPr>
            <w:r>
              <w:rPr>
                <w:sz w:val="24"/>
                <w:szCs w:val="24"/>
                <w:shd w:fill="auto" w:val="clear"/>
              </w:rPr>
              <w:t>Юридический адрес:</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sz w:val="24"/>
                <w:szCs w:val="24"/>
                <w:highlight w:val="none"/>
                <w:shd w:fill="auto" w:val="clear"/>
              </w:rPr>
            </w:pPr>
            <w:r>
              <w:rPr>
                <w:sz w:val="24"/>
                <w:szCs w:val="24"/>
                <w:shd w:fill="auto" w:val="clear"/>
              </w:rPr>
            </w:r>
          </w:p>
          <w:p>
            <w:pPr>
              <w:pStyle w:val="Normal"/>
              <w:widowControl w:val="false"/>
              <w:rPr>
                <w:sz w:val="24"/>
                <w:szCs w:val="24"/>
                <w:highlight w:val="none"/>
                <w:shd w:fill="auto" w:val="clear"/>
              </w:rPr>
            </w:pPr>
            <w:r>
              <w:rPr>
                <w:sz w:val="24"/>
                <w:szCs w:val="24"/>
                <w:shd w:fill="auto" w:val="clear"/>
              </w:rPr>
            </w:r>
          </w:p>
          <w:p>
            <w:pPr>
              <w:pStyle w:val="Normal"/>
              <w:widowControl w:val="false"/>
              <w:rPr>
                <w:sz w:val="24"/>
                <w:szCs w:val="24"/>
                <w:highlight w:val="none"/>
                <w:shd w:fill="auto" w:val="clear"/>
              </w:rPr>
            </w:pPr>
            <w:r>
              <w:rPr>
                <w:sz w:val="24"/>
                <w:szCs w:val="24"/>
                <w:shd w:fill="auto" w:val="clear"/>
              </w:rPr>
            </w:r>
          </w:p>
          <w:p>
            <w:pPr>
              <w:pStyle w:val="Normal"/>
              <w:widowControl w:val="false"/>
              <w:rPr>
                <w:highlight w:val="none"/>
                <w:shd w:fill="auto" w:val="clear"/>
              </w:rPr>
            </w:pPr>
            <w:r>
              <w:rPr>
                <w:sz w:val="24"/>
                <w:szCs w:val="24"/>
                <w:shd w:fill="auto" w:val="clear"/>
              </w:rPr>
              <w:t>Почтовый адрес:</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ОГРН ___________________________</w:t>
            </w:r>
          </w:p>
          <w:p>
            <w:pPr>
              <w:pStyle w:val="Normal"/>
              <w:widowControl w:val="false"/>
              <w:rPr>
                <w:highlight w:val="none"/>
                <w:shd w:fill="auto" w:val="clear"/>
              </w:rPr>
            </w:pPr>
            <w:r>
              <w:rPr>
                <w:sz w:val="24"/>
                <w:szCs w:val="24"/>
                <w:shd w:fill="auto" w:val="clear"/>
              </w:rPr>
              <w:t>ИНН ____________ / КПП___________</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расчетного счета)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(наименование банка, в котором</w:t>
            </w:r>
          </w:p>
          <w:p>
            <w:pPr>
              <w:pStyle w:val="Normal"/>
              <w:widowControl w:val="false"/>
              <w:rPr>
                <w:highlight w:val="none"/>
                <w:shd w:fill="auto" w:val="clear"/>
              </w:rPr>
            </w:pPr>
            <w:r>
              <w:rPr>
                <w:sz w:val="24"/>
                <w:szCs w:val="24"/>
                <w:shd w:fill="auto" w:val="clear"/>
              </w:rPr>
              <w:t>открыт расчетный счет)</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корреспондентского счета банка)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(БИК банка)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телефона)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факса)</w:t>
            </w:r>
          </w:p>
          <w:p>
            <w:pPr>
              <w:pStyle w:val="Normal"/>
              <w:widowControl w:val="false"/>
              <w:rPr>
                <w:sz w:val="24"/>
                <w:szCs w:val="24"/>
                <w:highlight w:val="none"/>
                <w:shd w:fill="auto" w:val="clear"/>
              </w:rPr>
            </w:pPr>
            <w:r>
              <w:rPr>
                <w:sz w:val="24"/>
                <w:szCs w:val="24"/>
                <w:shd w:fill="auto" w:val="clear"/>
              </w:rPr>
            </w:r>
          </w:p>
        </w:tc>
      </w:tr>
      <w:tr>
        <w:trPr/>
        <w:tc>
          <w:tcPr>
            <w:tcW w:w="4777" w:type="dxa"/>
            <w:tcBorders/>
          </w:tcPr>
          <w:p>
            <w:pPr>
              <w:pStyle w:val="Normal"/>
              <w:widowControl w:val="false"/>
              <w:rPr>
                <w:highlight w:val="none"/>
                <w:shd w:fill="auto" w:val="clear"/>
              </w:rPr>
            </w:pPr>
            <w:r>
              <w:rPr>
                <w:sz w:val="24"/>
                <w:szCs w:val="24"/>
                <w:shd w:fill="auto" w:val="clear"/>
              </w:rPr>
              <w:t xml:space="preserve">_______________ / _______________ </w:t>
            </w:r>
          </w:p>
          <w:p>
            <w:pPr>
              <w:pStyle w:val="Normal"/>
              <w:widowControl w:val="false"/>
              <w:rPr>
                <w:sz w:val="24"/>
                <w:szCs w:val="24"/>
                <w:highlight w:val="none"/>
                <w:shd w:fill="auto" w:val="clear"/>
              </w:rPr>
            </w:pPr>
            <w:r>
              <w:rPr>
                <w:sz w:val="24"/>
                <w:szCs w:val="24"/>
                <w:shd w:fill="auto" w:val="clear"/>
              </w:rPr>
            </w:r>
          </w:p>
        </w:tc>
        <w:tc>
          <w:tcPr>
            <w:tcW w:w="4786" w:type="dxa"/>
            <w:gridSpan w:val="2"/>
            <w:tcBorders/>
          </w:tcPr>
          <w:p>
            <w:pPr>
              <w:pStyle w:val="Normal"/>
              <w:widowControl w:val="false"/>
              <w:rPr>
                <w:highlight w:val="none"/>
                <w:shd w:fill="auto" w:val="clear"/>
              </w:rPr>
            </w:pPr>
            <w:r>
              <w:rPr>
                <w:sz w:val="24"/>
                <w:szCs w:val="24"/>
                <w:shd w:fill="auto" w:val="clear"/>
              </w:rPr>
              <w:t xml:space="preserve">_______________ / _______________ </w:t>
            </w:r>
          </w:p>
        </w:tc>
        <w:tc>
          <w:tcPr>
            <w:tcW w:w="327" w:type="dxa"/>
            <w:tcBorders/>
          </w:tcPr>
          <w:p>
            <w:pPr>
              <w:pStyle w:val="Normal"/>
              <w:widowControl w:val="false"/>
              <w:rPr>
                <w:highlight w:val="none"/>
                <w:shd w:fill="auto" w:val="clear"/>
              </w:rPr>
            </w:pPr>
            <w:r>
              <w:rPr>
                <w:shd w:fill="auto" w:val="clear"/>
              </w:rPr>
            </w:r>
          </w:p>
        </w:tc>
      </w:tr>
    </w:tbl>
    <w:p>
      <w:pPr>
        <w:sectPr>
          <w:headerReference w:type="default" r:id="rId5"/>
          <w:headerReference w:type="first" r:id="rId6"/>
          <w:footerReference w:type="default" r:id="rId7"/>
          <w:footnotePr>
            <w:numFmt w:val="decimal"/>
          </w:footnotePr>
          <w:type w:val="nextPage"/>
          <w:pgSz w:w="11906" w:h="16838"/>
          <w:pgMar w:left="1560" w:right="851" w:gutter="0" w:header="709" w:top="1134" w:footer="709" w:bottom="1135"/>
          <w:pgNumType w:fmt="decimal"/>
          <w:formProt w:val="false"/>
          <w:titlePg/>
          <w:textDirection w:val="lrTb"/>
          <w:docGrid w:type="default" w:linePitch="360" w:charSpace="8192"/>
        </w:sectPr>
      </w:pPr>
    </w:p>
    <w:p>
      <w:pPr>
        <w:pStyle w:val="Normal"/>
        <w:suppressAutoHyphens w:val="true"/>
        <w:ind w:left="5103" w:right="96" w:hanging="0"/>
        <w:rPr>
          <w:sz w:val="22"/>
          <w:szCs w:val="22"/>
        </w:rPr>
      </w:pPr>
      <w:r>
        <w:rPr>
          <w:sz w:val="22"/>
          <w:szCs w:val="22"/>
        </w:rPr>
        <w:t>Приложение № 1</w:t>
      </w:r>
    </w:p>
    <w:p>
      <w:pPr>
        <w:pStyle w:val="Normal"/>
        <w:suppressAutoHyphens w:val="true"/>
        <w:ind w:left="5103" w:right="96" w:hanging="0"/>
        <w:rPr>
          <w:sz w:val="22"/>
          <w:szCs w:val="22"/>
        </w:rPr>
      </w:pPr>
      <w:r>
        <w:rPr>
          <w:sz w:val="22"/>
          <w:szCs w:val="22"/>
        </w:rPr>
        <w:t>к Договору поставки</w:t>
      </w:r>
    </w:p>
    <w:p>
      <w:pPr>
        <w:pStyle w:val="Normal"/>
        <w:suppressAutoHyphens w:val="true"/>
        <w:ind w:left="5103" w:right="96" w:hanging="0"/>
        <w:rPr>
          <w:sz w:val="22"/>
          <w:szCs w:val="22"/>
        </w:rPr>
      </w:pPr>
      <w:r>
        <w:rPr>
          <w:sz w:val="22"/>
          <w:szCs w:val="22"/>
        </w:rPr>
        <w:t>от «____» __________ 20 _ г. № _____</w:t>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397"/>
        <w:gridCol w:w="633"/>
        <w:gridCol w:w="636"/>
        <w:gridCol w:w="638"/>
        <w:gridCol w:w="799"/>
        <w:gridCol w:w="766"/>
        <w:gridCol w:w="644"/>
        <w:gridCol w:w="762"/>
        <w:gridCol w:w="720"/>
        <w:gridCol w:w="377"/>
        <w:gridCol w:w="156"/>
        <w:gridCol w:w="666"/>
        <w:gridCol w:w="582"/>
        <w:gridCol w:w="531"/>
        <w:gridCol w:w="745"/>
        <w:gridCol w:w="585"/>
      </w:tblGrid>
      <w:tr>
        <w:trPr>
          <w:trHeight w:val="526"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13"/>
            </w:r>
          </w:p>
        </w:tc>
        <w:tc>
          <w:tcPr>
            <w:tcW w:w="7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highlight w:val="none"/>
                <w:shd w:fill="auto" w:val="clear"/>
              </w:rPr>
            </w:pPr>
            <w:r>
              <w:rPr>
                <w:bCs/>
                <w:shd w:fill="auto" w:val="clear"/>
              </w:rPr>
              <w:t>Порядковый номер(а) реестровой(ых) записи(ей)</w:t>
            </w:r>
            <w:r>
              <w:rPr>
                <w:rStyle w:val="FootnoteReference"/>
                <w:bCs/>
                <w:shd w:fill="auto" w:val="clear"/>
              </w:rPr>
              <w:footnoteReference w:id="14"/>
            </w:r>
          </w:p>
          <w:p>
            <w:pPr>
              <w:pStyle w:val="Normal"/>
              <w:widowControl w:val="false"/>
              <w:jc w:val="center"/>
              <w:rPr>
                <w:bCs/>
                <w:highlight w:val="none"/>
                <w:shd w:fill="auto" w:val="clear"/>
              </w:rPr>
            </w:pPr>
            <w:r>
              <w:rPr>
                <w:bCs/>
                <w:shd w:fill="auto" w:val="clear"/>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6372"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none"/>
                <w:shd w:fill="auto" w:val="clear"/>
              </w:rPr>
            </w:pPr>
            <w:r>
              <w:rPr>
                <w:shd w:fill="auto" w:val="clear"/>
              </w:rPr>
              <w:t>Итого стоимость всего Товара (с учетом доставки), руб. с НДС*:</w:t>
            </w:r>
          </w:p>
        </w:tc>
        <w:tc>
          <w:tcPr>
            <w:tcW w:w="3265"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r>
    </w:tbl>
    <w:p>
      <w:pPr>
        <w:pStyle w:val="Normal"/>
        <w:widowControl w:val="false"/>
        <w:bidi w:val="0"/>
        <w:spacing w:lineRule="auto" w:line="240" w:before="0" w:after="0"/>
        <w:ind w:left="-737" w:right="680" w:hanging="0"/>
        <w:jc w:val="both"/>
        <w:rPr>
          <w:i/>
          <w:i/>
          <w:iCs/>
          <w:sz w:val="20"/>
          <w:szCs w:val="20"/>
          <w:highlight w:val="none"/>
          <w:shd w:fill="auto" w:val="clear"/>
        </w:rPr>
      </w:pPr>
      <w:r>
        <w:rPr>
          <w:i/>
          <w:iCs/>
          <w:sz w:val="20"/>
          <w:szCs w:val="20"/>
          <w:shd w:fill="auto" w:val="clear"/>
        </w:rPr>
        <w:t>* При этом сумма НДС является справочной и рассчитана исходя из ставки НДС в соответствии с действующим законодательством Российской Федерации.</w:t>
      </w:r>
    </w:p>
    <w:p>
      <w:pPr>
        <w:pStyle w:val="Normal"/>
        <w:widowControl w:val="false"/>
        <w:bidi w:val="0"/>
        <w:spacing w:lineRule="auto" w:line="240" w:before="0" w:after="0"/>
        <w:ind w:left="-737" w:right="680" w:hanging="0"/>
        <w:jc w:val="both"/>
        <w:rPr>
          <w:i/>
          <w:i/>
          <w:iCs/>
          <w:sz w:val="20"/>
          <w:szCs w:val="20"/>
          <w:highlight w:val="none"/>
          <w:shd w:fill="auto" w:val="clear"/>
        </w:rPr>
      </w:pPr>
      <w:r>
        <w:rPr>
          <w:i/>
          <w:iCs/>
          <w:sz w:val="20"/>
          <w:szCs w:val="20"/>
          <w:shd w:fill="auto" w:val="clear"/>
        </w:rPr>
      </w:r>
    </w:p>
    <w:p>
      <w:pPr>
        <w:pStyle w:val="Normal"/>
        <w:rPr>
          <w:highlight w:val="none"/>
          <w:shd w:fill="auto" w:val="clear"/>
        </w:rPr>
      </w:pPr>
      <w:r>
        <w:rPr>
          <w:i/>
          <w:sz w:val="22"/>
          <w:szCs w:val="22"/>
          <w:shd w:fill="auto" w:val="clear"/>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jc w:val="both"/>
        <w:rPr>
          <w:highlight w:val="none"/>
          <w:shd w:fill="auto" w:val="clear"/>
        </w:rPr>
      </w:pPr>
      <w:r>
        <w:rPr>
          <w:i/>
          <w:sz w:val="22"/>
          <w:szCs w:val="22"/>
          <w:shd w:fill="auto" w:val="clear"/>
        </w:rPr>
        <w:t xml:space="preserve">2. По требованию Покупателя Поставщик обязан представить запрашиваемую информацию / документы, расчеты, обосновывающие стоимость доставки. </w:t>
      </w:r>
    </w:p>
    <w:p>
      <w:pPr>
        <w:pStyle w:val="Normal"/>
        <w:rPr>
          <w:i/>
          <w:i/>
          <w:sz w:val="22"/>
          <w:szCs w:val="22"/>
          <w:highlight w:val="none"/>
          <w:shd w:fill="auto" w:val="clear"/>
        </w:rPr>
      </w:pPr>
      <w:r>
        <w:rPr>
          <w:i/>
          <w:sz w:val="22"/>
          <w:szCs w:val="22"/>
          <w:shd w:fill="auto" w:val="clear"/>
        </w:rPr>
      </w:r>
    </w:p>
    <w:p>
      <w:pPr>
        <w:pStyle w:val="Normal"/>
        <w:rPr>
          <w:i/>
          <w:i/>
          <w:sz w:val="22"/>
          <w:szCs w:val="22"/>
        </w:rPr>
      </w:pPr>
      <w:r>
        <w:rPr>
          <w:i/>
          <w:sz w:val="22"/>
          <w:szCs w:val="22"/>
        </w:rPr>
      </w:r>
    </w:p>
    <w:tbl>
      <w:tblPr>
        <w:tblW w:w="963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826"/>
        <w:gridCol w:w="4805"/>
      </w:tblGrid>
      <w:tr>
        <w:trPr>
          <w:trHeight w:val="269" w:hRule="atLeast"/>
        </w:trPr>
        <w:tc>
          <w:tcPr>
            <w:tcW w:w="4826" w:type="dxa"/>
            <w:tcBorders/>
          </w:tcPr>
          <w:p>
            <w:pPr>
              <w:pStyle w:val="Normal"/>
              <w:widowControl w:val="false"/>
              <w:rPr>
                <w:b/>
                <w:sz w:val="24"/>
              </w:rPr>
            </w:pPr>
            <w:r>
              <w:rPr>
                <w:b/>
                <w:sz w:val="24"/>
              </w:rPr>
              <w:t>Покупатель:</w:t>
            </w:r>
          </w:p>
        </w:tc>
        <w:tc>
          <w:tcPr>
            <w:tcW w:w="4805" w:type="dxa"/>
            <w:tcBorders/>
          </w:tcPr>
          <w:p>
            <w:pPr>
              <w:pStyle w:val="Normal"/>
              <w:widowControl w:val="false"/>
              <w:rPr>
                <w:b/>
                <w:sz w:val="24"/>
              </w:rPr>
            </w:pPr>
            <w:r>
              <w:rPr>
                <w:b/>
                <w:sz w:val="24"/>
              </w:rPr>
              <w:t>Поставщик:</w:t>
            </w:r>
          </w:p>
        </w:tc>
      </w:tr>
    </w:tbl>
    <w:p>
      <w:pPr>
        <w:pStyle w:val="Normal"/>
        <w:rPr/>
      </w:pPr>
      <w:r>
        <w:rPr/>
      </w:r>
    </w:p>
    <w:p>
      <w:pPr>
        <w:pStyle w:val="Normal"/>
        <w:rPr/>
      </w:pPr>
      <w:r>
        <w:rPr/>
        <w:t xml:space="preserve"> </w:t>
      </w:r>
      <w:r>
        <w:rPr/>
        <w:t>__________ /__________</w:t>
        <w:tab/>
        <w:t xml:space="preserve">                                          ___________ /___________</w:t>
      </w:r>
    </w:p>
    <w:p>
      <w:pPr>
        <w:pStyle w:val="Normal"/>
        <w:rPr>
          <w:i/>
          <w:i/>
          <w:sz w:val="24"/>
          <w:szCs w:val="24"/>
          <w:highlight w:val="yellow"/>
        </w:rPr>
      </w:pPr>
      <w:r>
        <w:rPr>
          <w:i/>
          <w:sz w:val="24"/>
          <w:szCs w:val="24"/>
          <w:highlight w:val="yellow"/>
        </w:rPr>
      </w:r>
    </w:p>
    <w:p>
      <w:pPr>
        <w:pStyle w:val="Normal"/>
        <w:widowControl/>
        <w:rPr>
          <w:sz w:val="22"/>
          <w:szCs w:val="22"/>
        </w:rPr>
      </w:pPr>
      <w:r>
        <w:rPr>
          <w:sz w:val="22"/>
          <w:szCs w:val="22"/>
        </w:rPr>
      </w:r>
      <w:r>
        <w:br w:type="page"/>
      </w:r>
    </w:p>
    <w:p>
      <w:pPr>
        <w:pStyle w:val="Normal"/>
        <w:suppressAutoHyphens w:val="true"/>
        <w:ind w:right="96" w:firstLine="5103"/>
        <w:rPr>
          <w:sz w:val="22"/>
          <w:szCs w:val="22"/>
        </w:rPr>
      </w:pPr>
      <w:r>
        <w:rPr>
          <w:sz w:val="22"/>
          <w:szCs w:val="22"/>
        </w:rPr>
        <w:t>Приложение № 2</w:t>
      </w:r>
    </w:p>
    <w:p>
      <w:pPr>
        <w:pStyle w:val="Normal"/>
        <w:suppressAutoHyphens w:val="true"/>
        <w:ind w:right="96" w:firstLine="5103"/>
        <w:rPr>
          <w:sz w:val="22"/>
          <w:szCs w:val="22"/>
        </w:rPr>
      </w:pPr>
      <w:r>
        <w:rPr>
          <w:sz w:val="22"/>
          <w:szCs w:val="22"/>
        </w:rPr>
        <w:t xml:space="preserve">к Договору поставки </w:t>
      </w:r>
    </w:p>
    <w:p>
      <w:pPr>
        <w:pStyle w:val="Normal"/>
        <w:suppressAutoHyphens w:val="true"/>
        <w:ind w:right="96" w:firstLine="5103"/>
        <w:rPr>
          <w:sz w:val="22"/>
          <w:szCs w:val="22"/>
        </w:rPr>
      </w:pPr>
      <w:r>
        <w:rPr>
          <w:sz w:val="22"/>
          <w:szCs w:val="22"/>
        </w:rPr>
        <w:t>от «____» __________ 20 _ г. № _____</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suppressAutoHyphens w:val="true"/>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suppressAutoHyphens w:val="true"/>
        <w:ind w:right="96" w:firstLine="5529"/>
        <w:rPr>
          <w:sz w:val="22"/>
          <w:szCs w:val="22"/>
        </w:rPr>
      </w:pPr>
      <w:r>
        <w:rPr>
          <w:sz w:val="22"/>
          <w:szCs w:val="22"/>
        </w:rPr>
        <w:t>Приложение № 3</w:t>
      </w:r>
    </w:p>
    <w:p>
      <w:pPr>
        <w:pStyle w:val="Normal"/>
        <w:suppressAutoHyphens w:val="true"/>
        <w:ind w:right="96" w:firstLine="5529"/>
        <w:rPr>
          <w:sz w:val="22"/>
          <w:szCs w:val="22"/>
        </w:rPr>
      </w:pPr>
      <w:r>
        <w:rPr>
          <w:sz w:val="22"/>
          <w:szCs w:val="22"/>
        </w:rPr>
        <w:t>к Договору поставки</w:t>
      </w:r>
    </w:p>
    <w:p>
      <w:pPr>
        <w:pStyle w:val="Normal"/>
        <w:ind w:firstLine="5529"/>
        <w:rPr>
          <w:bCs/>
          <w:sz w:val="22"/>
          <w:szCs w:val="22"/>
        </w:rPr>
      </w:pPr>
      <w:r>
        <w:rPr>
          <w:sz w:val="22"/>
          <w:szCs w:val="22"/>
        </w:rPr>
        <w:t>от «____» __________ 20 _ г.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t>Критерии отбора Банков – Гарантов</w:t>
      </w:r>
      <w:r>
        <w:rPr>
          <w:rStyle w:val="FootnoteReference"/>
          <w:b/>
          <w:bCs/>
          <w:sz w:val="24"/>
          <w:szCs w:val="24"/>
        </w:rPr>
        <w:footnoteReference w:id="15"/>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tabs>
          <w:tab w:val="clear" w:pos="709"/>
          <w:tab w:val="left" w:pos="1134" w:leader="none"/>
        </w:tabs>
        <w:ind w:firstLine="709"/>
        <w:jc w:val="both"/>
        <w:rPr>
          <w:sz w:val="24"/>
          <w:szCs w:val="24"/>
        </w:rPr>
      </w:pPr>
      <w:r>
        <w:rPr>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FootnoteReference"/>
          <w:sz w:val="24"/>
          <w:szCs w:val="24"/>
          <w:vertAlign w:val="superscript"/>
          <w:lang w:val="en-GB"/>
        </w:rPr>
        <w:footnoteReference w:id="16"/>
      </w:r>
      <w:r>
        <w:rPr>
          <w:sz w:val="24"/>
          <w:szCs w:val="24"/>
        </w:rPr>
        <w:t>, а также соответствовать следующим критериям:</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widowControl/>
        <w:numPr>
          <w:ilvl w:val="1"/>
          <w:numId w:val="13"/>
        </w:numPr>
        <w:tabs>
          <w:tab w:val="clear" w:pos="709"/>
          <w:tab w:val="left" w:pos="1134" w:leader="none"/>
        </w:tabs>
        <w:ind w:left="0" w:firstLine="710"/>
        <w:jc w:val="both"/>
        <w:rPr>
          <w:sz w:val="24"/>
          <w:szCs w:val="24"/>
        </w:rPr>
      </w:pPr>
      <w:r>
        <w:rPr>
          <w:sz w:val="24"/>
          <w:szCs w:val="24"/>
        </w:rPr>
        <w:t>Присутствовать в Перечне кредитных организаций, соответствующих требованиям, установленным ч. 1 ст. 2 Федерального закона от 21.07.2014 №</w:t>
      </w:r>
      <w:r>
        <w:rPr>
          <w:sz w:val="24"/>
          <w:szCs w:val="24"/>
          <w:lang w:val="en-GB"/>
        </w:rPr>
        <w:t> </w:t>
      </w:r>
      <w:r>
        <w:rPr>
          <w:sz w:val="24"/>
          <w:szCs w:val="24"/>
        </w:rPr>
        <w:t xml:space="preserve">213-ФЗ </w:t>
        <w:br/>
        <w: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w:t>
        <w:br/>
        <w:t>213-ФЗ).</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собственные средства (капитал) в размере не менее 25 млрд. рублей на 01 января текущего календарного года по данным отчетности (в соответствии с кодом формы по ОКУД 0409123</w:t>
      </w:r>
      <w:r>
        <w:rPr>
          <w:rFonts w:eastAsia="Times New Roman" w:cs="Times New Roman"/>
          <w:color w:val="auto"/>
          <w:kern w:val="0"/>
          <w:sz w:val="24"/>
          <w:szCs w:val="24"/>
          <w:lang w:val="ru-RU" w:eastAsia="ru-RU" w:bidi="ar-SA"/>
        </w:rPr>
        <w:t xml:space="preserve">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w:t>
      </w:r>
      <w:r>
        <w:rPr>
          <w:sz w:val="24"/>
          <w:szCs w:val="24"/>
        </w:rPr>
        <w:t>, опубликованной в информационно-телекоммуникационной сети «Интернет» (</w:t>
      </w:r>
      <w:hyperlink r:id="rId8">
        <w:r>
          <w:rPr>
            <w:rStyle w:val="Hyperlink"/>
            <w:rFonts w:eastAsia="Times New Roman" w:cs="Times New Roman"/>
            <w:color w:val="auto"/>
            <w:sz w:val="24"/>
            <w:szCs w:val="24"/>
            <w:lang w:val="ru-RU" w:eastAsia="ru-RU" w:bidi="ar-SA"/>
          </w:rPr>
          <w:t>www.cbr.ru</w:t>
        </w:r>
      </w:hyperlink>
      <w:r>
        <w:rPr>
          <w:sz w:val="24"/>
          <w:szCs w:val="24"/>
        </w:rPr>
        <w:t xml:space="preserve">) на официальных сайтах ЦБ РФ и/ или кредитной организации либо представленной кредитной </w:t>
      </w:r>
      <w:r>
        <w:rPr>
          <w:rFonts w:eastAsia="Times New Roman" w:cs="Times New Roman"/>
          <w:color w:val="auto"/>
          <w:kern w:val="0"/>
          <w:sz w:val="24"/>
          <w:szCs w:val="24"/>
          <w:lang w:val="ru-RU" w:eastAsia="ru-RU" w:bidi="ar-SA"/>
        </w:rPr>
        <w:t>организации</w:t>
      </w:r>
      <w:r>
        <w:rPr>
          <w:sz w:val="24"/>
          <w:szCs w:val="24"/>
        </w:rPr>
        <w:t xml:space="preserve"> Заказчику. </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кредитный рейтинг по национальной шкале не ниже уровня «</w:t>
      </w:r>
      <w:r>
        <w:rPr>
          <w:sz w:val="24"/>
          <w:szCs w:val="24"/>
          <w:lang w:val="en-GB"/>
        </w:rPr>
        <w:t>BBB</w:t>
      </w:r>
      <w:r>
        <w:rPr>
          <w:sz w:val="24"/>
          <w:szCs w:val="24"/>
        </w:rPr>
        <w:t>» рейтингового агентства АКРА или не ниже уровня «</w:t>
      </w:r>
      <w:r>
        <w:rPr>
          <w:sz w:val="24"/>
          <w:szCs w:val="24"/>
          <w:lang w:val="en-GB"/>
        </w:rPr>
        <w:t>ruBBB</w:t>
      </w:r>
      <w:r>
        <w:rPr>
          <w:sz w:val="24"/>
          <w:szCs w:val="24"/>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Pr>
          <w:sz w:val="24"/>
          <w:szCs w:val="24"/>
          <w:lang w:val="en-GB"/>
        </w:rPr>
        <w:t>Fitch</w:t>
      </w:r>
      <w:r>
        <w:rPr>
          <w:sz w:val="24"/>
          <w:szCs w:val="24"/>
        </w:rPr>
        <w:t>-</w:t>
      </w:r>
      <w:r>
        <w:rPr>
          <w:sz w:val="24"/>
          <w:szCs w:val="24"/>
          <w:lang w:val="en-GB"/>
        </w:rPr>
        <w:t>Ratings</w:t>
      </w:r>
      <w:r>
        <w:rPr>
          <w:sz w:val="24"/>
          <w:szCs w:val="24"/>
        </w:rPr>
        <w:t>» или «</w:t>
      </w:r>
      <w:r>
        <w:rPr>
          <w:sz w:val="24"/>
          <w:szCs w:val="24"/>
          <w:lang w:val="en-GB"/>
        </w:rPr>
        <w:t>Standard</w:t>
      </w:r>
      <w:r>
        <w:rPr>
          <w:sz w:val="24"/>
          <w:szCs w:val="24"/>
        </w:rPr>
        <w:t xml:space="preserve"> &amp; </w:t>
      </w:r>
      <w:r>
        <w:rPr>
          <w:sz w:val="24"/>
          <w:szCs w:val="24"/>
          <w:lang w:val="en-GB"/>
        </w:rPr>
        <w:t>Poor</w:t>
      </w:r>
      <w:r>
        <w:rPr>
          <w:sz w:val="24"/>
          <w:szCs w:val="24"/>
        </w:rPr>
        <w:t>'</w:t>
      </w:r>
      <w:r>
        <w:rPr>
          <w:sz w:val="24"/>
          <w:szCs w:val="24"/>
          <w:lang w:val="en-GB"/>
        </w:rPr>
        <w:t>s</w:t>
      </w:r>
      <w:r>
        <w:rPr>
          <w:sz w:val="24"/>
          <w:szCs w:val="24"/>
        </w:rPr>
        <w:t>» либо уровня «</w:t>
      </w:r>
      <w:r>
        <w:rPr>
          <w:sz w:val="24"/>
          <w:szCs w:val="24"/>
          <w:lang w:val="en-GB"/>
        </w:rPr>
        <w:t>B</w:t>
      </w:r>
      <w:r>
        <w:rPr>
          <w:sz w:val="24"/>
          <w:szCs w:val="24"/>
        </w:rPr>
        <w:t>а2» по классификации рейтингового агентства «</w:t>
      </w:r>
      <w:r>
        <w:rPr>
          <w:sz w:val="24"/>
          <w:szCs w:val="24"/>
          <w:lang w:val="en-GB"/>
        </w:rPr>
        <w:t>Moody</w:t>
      </w:r>
      <w:r>
        <w:rPr>
          <w:sz w:val="24"/>
          <w:szCs w:val="24"/>
        </w:rPr>
        <w:t>'</w:t>
      </w:r>
      <w:r>
        <w:rPr>
          <w:sz w:val="24"/>
          <w:szCs w:val="24"/>
          <w:lang w:val="en-GB"/>
        </w:rPr>
        <w:t>s</w:t>
      </w:r>
      <w:r>
        <w:rPr>
          <w:sz w:val="24"/>
          <w:szCs w:val="24"/>
        </w:rPr>
        <w:t xml:space="preserve"> </w:t>
      </w:r>
      <w:r>
        <w:rPr>
          <w:sz w:val="24"/>
          <w:szCs w:val="24"/>
          <w:lang w:val="en-GB"/>
        </w:rPr>
        <w:t>Investors</w:t>
      </w:r>
      <w:r>
        <w:rPr>
          <w:sz w:val="24"/>
          <w:szCs w:val="24"/>
        </w:rPr>
        <w:t xml:space="preserve"> </w:t>
      </w:r>
      <w:r>
        <w:rPr>
          <w:sz w:val="24"/>
          <w:szCs w:val="24"/>
          <w:lang w:val="en-GB"/>
        </w:rPr>
        <w:t>Service</w:t>
      </w:r>
      <w:r>
        <w:rPr>
          <w:sz w:val="24"/>
          <w:szCs w:val="24"/>
        </w:rPr>
        <w:t>»</w:t>
      </w:r>
      <w:r>
        <w:rPr>
          <w:rStyle w:val="FootnoteReference"/>
          <w:sz w:val="24"/>
          <w:szCs w:val="24"/>
          <w:vertAlign w:val="superscript"/>
          <w:lang w:val="en-GB"/>
        </w:rPr>
        <w:footnoteReference w:id="17"/>
      </w:r>
      <w:r>
        <w:rPr>
          <w:sz w:val="24"/>
          <w:szCs w:val="24"/>
        </w:rPr>
        <w:t xml:space="preserve">. </w:t>
      </w:r>
    </w:p>
    <w:p>
      <w:pPr>
        <w:pStyle w:val="Normal"/>
        <w:widowControl/>
        <w:numPr>
          <w:ilvl w:val="1"/>
          <w:numId w:val="13"/>
        </w:numPr>
        <w:tabs>
          <w:tab w:val="clear" w:pos="709"/>
          <w:tab w:val="left" w:pos="1134" w:leader="none"/>
        </w:tabs>
        <w:ind w:left="0" w:firstLine="710"/>
        <w:jc w:val="both"/>
        <w:rPr>
          <w:sz w:val="24"/>
          <w:szCs w:val="24"/>
        </w:rPr>
      </w:pPr>
      <w:r>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w:t>
      </w:r>
      <w:r>
        <w:rPr>
          <w:sz w:val="24"/>
          <w:szCs w:val="24"/>
          <w:lang w:val="en-GB"/>
        </w:rPr>
        <w:t> </w:t>
      </w:r>
      <w:r>
        <w:rPr>
          <w:sz w:val="24"/>
          <w:szCs w:val="24"/>
        </w:rPr>
        <w:t>177-ФЗ «О страховании вкладов в банках Российской Федерации»</w:t>
      </w:r>
      <w:r>
        <w:rPr>
          <w:rStyle w:val="FootnoteReference"/>
          <w:sz w:val="24"/>
          <w:szCs w:val="24"/>
          <w:vertAlign w:val="superscript"/>
          <w:lang w:val="en-GB"/>
        </w:rPr>
        <w:footnoteReference w:id="18"/>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Pr>
          <w:sz w:val="24"/>
          <w:szCs w:val="24"/>
          <w:lang w:val="en-GB"/>
        </w:rPr>
        <w:t>http</w:t>
      </w:r>
      <w:r>
        <w:rPr>
          <w:sz w:val="24"/>
          <w:szCs w:val="24"/>
        </w:rPr>
        <w:t>://</w:t>
      </w:r>
      <w:r>
        <w:rPr>
          <w:sz w:val="24"/>
          <w:szCs w:val="24"/>
          <w:lang w:val="en-GB"/>
        </w:rPr>
        <w:t>www</w:t>
      </w:r>
      <w:r>
        <w:rPr>
          <w:sz w:val="24"/>
          <w:szCs w:val="24"/>
        </w:rPr>
        <w:t>.</w:t>
      </w:r>
      <w:r>
        <w:rPr>
          <w:sz w:val="24"/>
          <w:szCs w:val="24"/>
          <w:lang w:val="en-GB"/>
        </w:rPr>
        <w:t>asv</w:t>
      </w:r>
      <w:r>
        <w:rPr>
          <w:sz w:val="24"/>
          <w:szCs w:val="24"/>
        </w:rPr>
        <w:t>.</w:t>
      </w:r>
      <w:r>
        <w:rPr>
          <w:sz w:val="24"/>
          <w:szCs w:val="24"/>
          <w:lang w:val="en-GB"/>
        </w:rPr>
        <w:t>org</w:t>
      </w:r>
      <w:r>
        <w:rPr>
          <w:sz w:val="24"/>
          <w:szCs w:val="24"/>
        </w:rPr>
        <w:t>.</w:t>
      </w:r>
      <w:r>
        <w:rPr>
          <w:sz w:val="24"/>
          <w:szCs w:val="24"/>
          <w:lang w:val="en-GB"/>
        </w:rPr>
        <w:t>ru</w:t>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Не иметь просроченную задолженность перед Заказчиком и компаниями Группы РусГидро.</w:t>
      </w:r>
    </w:p>
    <w:p>
      <w:pPr>
        <w:pStyle w:val="Normal"/>
        <w:widowControl/>
        <w:numPr>
          <w:ilvl w:val="1"/>
          <w:numId w:val="13"/>
        </w:numPr>
        <w:tabs>
          <w:tab w:val="clear" w:pos="709"/>
          <w:tab w:val="left" w:pos="1134" w:leader="none"/>
        </w:tabs>
        <w:ind w:left="0" w:firstLine="710"/>
        <w:jc w:val="both"/>
        <w:rPr>
          <w:sz w:val="24"/>
          <w:szCs w:val="24"/>
        </w:rPr>
      </w:pPr>
      <w:r>
        <w:rPr>
          <w:sz w:val="24"/>
          <w:szCs w:val="24"/>
        </w:rPr>
        <w:t>Присутствовать (иметь отделение, филиал) по месту нахождения Заказчика, его обособленного подразделения или Филиала, для нужд которого заключается Договор</w:t>
      </w:r>
      <w:r>
        <w:rPr>
          <w:rStyle w:val="FootnoteReference"/>
          <w:sz w:val="24"/>
          <w:szCs w:val="24"/>
          <w:vertAlign w:val="superscript"/>
          <w:lang w:val="en-GB"/>
        </w:rPr>
        <w:footnoteReference w:id="19"/>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 xml:space="preserve">Требования, установленные пунктами 2 – 4 настоящих Критериев, </w:t>
        <w:br/>
        <w:t>не распространяются на кредитные организации:</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 xml:space="preserve">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w:t>
        <w:br/>
        <w:t xml:space="preserve">в которой могут размещаться средства федерального бюджета на банковских депозитах </w:t>
        <w:br/>
        <w:t>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 xml:space="preserve">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w:t>
        <w:br/>
        <w:t>и Указом Президента Российской Федерации от 05.06.2015 № 287 «О мерах по дальнейшему развитию малого и среднего предпринимательства».</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widowControl/>
        <w:numPr>
          <w:ilvl w:val="1"/>
          <w:numId w:val="14"/>
        </w:numPr>
        <w:tabs>
          <w:tab w:val="clear" w:pos="709"/>
          <w:tab w:val="left" w:pos="1134" w:leader="none"/>
        </w:tabs>
        <w:ind w:left="0" w:firstLine="709"/>
        <w:jc w:val="both"/>
        <w:rPr>
          <w:sz w:val="24"/>
          <w:szCs w:val="24"/>
          <w:lang w:val="en-GB"/>
        </w:rPr>
      </w:pPr>
      <w:r>
        <w:rPr>
          <w:sz w:val="24"/>
          <w:szCs w:val="24"/>
        </w:rPr>
        <w:t xml:space="preserve"> </w:t>
      </w:r>
      <w:r>
        <w:rPr>
          <w:sz w:val="24"/>
          <w:szCs w:val="24"/>
          <w:lang w:val="en-GB"/>
        </w:rPr>
        <w:t>ВЭБ.РФ.</w:t>
      </w:r>
    </w:p>
    <w:p>
      <w:pPr>
        <w:pStyle w:val="Normal"/>
        <w:numPr>
          <w:ilvl w:val="1"/>
          <w:numId w:val="14"/>
        </w:numPr>
        <w:tabs>
          <w:tab w:val="clear" w:pos="709"/>
          <w:tab w:val="left" w:pos="1134" w:leader="none"/>
        </w:tabs>
        <w:spacing w:lineRule="auto" w:line="240"/>
        <w:ind w:left="0" w:firstLine="709"/>
        <w:rPr>
          <w:sz w:val="24"/>
          <w:szCs w:val="24"/>
        </w:rPr>
      </w:pPr>
      <w:r>
        <w:rPr>
          <w:sz w:val="24"/>
          <w:szCs w:val="24"/>
          <w:lang w:val="en-GB"/>
        </w:rPr>
        <w:t>Нерезидентов Российской Федерации.</w:t>
      </w:r>
    </w:p>
    <w:p>
      <w:pPr>
        <w:pStyle w:val="Normal"/>
        <w:widowControl/>
        <w:numPr>
          <w:ilvl w:val="1"/>
          <w:numId w:val="13"/>
        </w:numPr>
        <w:tabs>
          <w:tab w:val="clear" w:pos="709"/>
          <w:tab w:val="left" w:pos="1134" w:leader="none"/>
        </w:tabs>
        <w:ind w:left="0" w:firstLine="710"/>
        <w:jc w:val="both"/>
        <w:rPr>
          <w:sz w:val="24"/>
          <w:szCs w:val="24"/>
        </w:rPr>
      </w:pPr>
      <w:r>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134" w:leader="none"/>
        </w:tabs>
        <w:ind w:firstLine="709"/>
        <w:jc w:val="center"/>
        <w:rPr>
          <w:sz w:val="24"/>
          <w:szCs w:val="24"/>
          <w:lang w:val="en-GB"/>
        </w:rPr>
      </w:pPr>
      <w:r>
        <w:rPr>
          <w:b/>
          <w:i/>
          <w:sz w:val="24"/>
          <w:szCs w:val="24"/>
          <w:lang w:val="en-GB"/>
        </w:rPr>
        <w:t>Lim</w:t>
      </w:r>
      <w:r>
        <w:rPr>
          <w:b/>
          <w:i/>
          <w:sz w:val="24"/>
          <w:szCs w:val="24"/>
          <w:vertAlign w:val="subscript"/>
          <w:lang w:val="en-GB"/>
        </w:rPr>
        <w:t>Ai</w:t>
      </w:r>
      <w:r>
        <w:rPr>
          <w:b/>
          <w:i/>
          <w:sz w:val="24"/>
          <w:szCs w:val="24"/>
          <w:lang w:val="en-GB"/>
        </w:rPr>
        <w:t xml:space="preserve">  = r</w:t>
      </w:r>
      <w:r>
        <w:rPr>
          <w:b/>
          <w:i/>
          <w:sz w:val="24"/>
          <w:szCs w:val="24"/>
          <w:vertAlign w:val="subscript"/>
          <w:lang w:val="en-GB"/>
        </w:rPr>
        <w:t>i</w:t>
      </w:r>
      <w:r>
        <w:rPr>
          <w:b/>
          <w:i/>
          <w:sz w:val="24"/>
          <w:szCs w:val="24"/>
          <w:lang w:val="en-GB"/>
        </w:rPr>
        <w:t xml:space="preserve"> × СK</w:t>
      </w:r>
      <w:r>
        <w:rPr>
          <w:b/>
          <w:i/>
          <w:sz w:val="24"/>
          <w:szCs w:val="24"/>
          <w:vertAlign w:val="subscript"/>
          <w:lang w:val="en-GB"/>
        </w:rPr>
        <w:t>i</w:t>
      </w:r>
      <w:r>
        <w:rPr>
          <w:sz w:val="24"/>
          <w:szCs w:val="24"/>
          <w:lang w:val="en-GB"/>
        </w:rPr>
        <w:t>, где</w:t>
      </w:r>
    </w:p>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134" w:leader="none"/>
        </w:tabs>
        <w:ind w:firstLine="709"/>
        <w:jc w:val="center"/>
        <w:rPr>
          <w:sz w:val="24"/>
          <w:szCs w:val="24"/>
          <w:lang w:val="en-GB"/>
        </w:rPr>
      </w:pPr>
      <w:r>
        <w:rPr>
          <w:sz w:val="24"/>
          <w:szCs w:val="24"/>
          <w:lang w:val="en-GB"/>
        </w:rPr>
      </w:r>
    </w:p>
    <w:tbl>
      <w:tblPr>
        <w:tblW w:w="960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817"/>
        <w:gridCol w:w="280"/>
        <w:gridCol w:w="8509"/>
      </w:tblGrid>
      <w:tr>
        <w:trPr>
          <w:trHeight w:val="426" w:hRule="atLeast"/>
        </w:trPr>
        <w:tc>
          <w:tcPr>
            <w:tcW w:w="817" w:type="dxa"/>
            <w:tcBorders/>
            <w:shd w:color="auto" w:fill="auto" w:val="clear"/>
          </w:tcPr>
          <w:p>
            <w:pPr>
              <w:pStyle w:val="Normal"/>
              <w:widowControl w:val="false"/>
              <w:spacing w:lineRule="auto" w:line="240"/>
              <w:ind w:left="0" w:right="-108" w:hanging="0"/>
              <w:rPr>
                <w:color w:val="000000"/>
                <w:sz w:val="24"/>
                <w:szCs w:val="24"/>
              </w:rPr>
            </w:pPr>
            <w:r>
              <w:rPr>
                <w:b/>
                <w:i/>
                <w:color w:val="000000"/>
                <w:sz w:val="24"/>
                <w:szCs w:val="24"/>
              </w:rPr>
              <w:t>Lim</w:t>
            </w:r>
            <w:r>
              <w:rPr>
                <w:b/>
                <w:i/>
                <w:color w:val="000000"/>
                <w:sz w:val="24"/>
                <w:szCs w:val="24"/>
                <w:vertAlign w:val="subscript"/>
                <w:lang w:val="en-US"/>
              </w:rPr>
              <w:t xml:space="preserve">Ai </w:t>
            </w:r>
          </w:p>
        </w:tc>
        <w:tc>
          <w:tcPr>
            <w:tcW w:w="280" w:type="dxa"/>
            <w:tcBorders/>
            <w:shd w:color="auto" w:fill="auto" w:val="clear"/>
          </w:tcPr>
          <w:p>
            <w:pPr>
              <w:pStyle w:val="Normal"/>
              <w:widowControl w:val="false"/>
              <w:spacing w:lineRule="auto" w:line="240"/>
              <w:ind w:left="317" w:right="-108" w:hanging="317"/>
              <w:rPr>
                <w:color w:val="000000"/>
                <w:sz w:val="24"/>
                <w:szCs w:val="24"/>
              </w:rPr>
            </w:pPr>
            <w:r>
              <w:rPr>
                <w:sz w:val="24"/>
                <w:szCs w:val="24"/>
              </w:rPr>
              <w:t xml:space="preserve">-  </w:t>
            </w:r>
          </w:p>
        </w:tc>
        <w:tc>
          <w:tcPr>
            <w:tcW w:w="8509" w:type="dxa"/>
            <w:tcBorders/>
            <w:shd w:color="auto" w:fill="auto" w:val="clear"/>
          </w:tcPr>
          <w:p>
            <w:pPr>
              <w:pStyle w:val="Normal"/>
              <w:widowControl w:val="false"/>
              <w:spacing w:lineRule="auto" w:line="240"/>
              <w:ind w:left="-75" w:right="-108" w:firstLine="567"/>
              <w:rPr>
                <w:color w:val="000000"/>
                <w:sz w:val="24"/>
                <w:szCs w:val="24"/>
              </w:rPr>
            </w:pPr>
            <w:r>
              <w:rPr>
                <w:rFonts w:eastAsia="Times New Roman" w:cs="Times New Roman"/>
                <w:sz w:val="24"/>
                <w:szCs w:val="24"/>
                <w:lang w:eastAsia="ru-RU"/>
              </w:rPr>
              <w:t>Лимит риска для i-ой кредитной организации</w:t>
            </w:r>
            <w:r>
              <w:rPr>
                <w:rStyle w:val="FootnoteReference"/>
                <w:rFonts w:eastAsia="Times New Roman" w:cs="Times New Roman"/>
                <w:sz w:val="24"/>
                <w:szCs w:val="24"/>
                <w:lang w:eastAsia="ru-RU"/>
              </w:rPr>
              <w:footnoteReference w:id="20"/>
            </w:r>
            <w:r>
              <w:rPr>
                <w:rFonts w:eastAsia="Times New Roman" w:cs="Times New Roman"/>
                <w:sz w:val="24"/>
                <w:szCs w:val="24"/>
                <w:lang w:eastAsia="ru-RU"/>
              </w:rPr>
              <w:t>.</w:t>
            </w:r>
          </w:p>
        </w:tc>
      </w:tr>
      <w:tr>
        <w:trPr>
          <w:trHeight w:val="280" w:hRule="atLeast"/>
        </w:trPr>
        <w:tc>
          <w:tcPr>
            <w:tcW w:w="817" w:type="dxa"/>
            <w:tcBorders/>
            <w:shd w:color="auto" w:fill="auto" w:val="clear"/>
          </w:tcPr>
          <w:p>
            <w:pPr>
              <w:pStyle w:val="Normal"/>
              <w:widowControl w:val="false"/>
              <w:spacing w:lineRule="auto" w:line="240"/>
              <w:ind w:left="0" w:right="-108" w:hanging="0"/>
              <w:rPr>
                <w:b/>
                <w:i/>
                <w:i/>
                <w:color w:val="000000"/>
                <w:sz w:val="24"/>
                <w:szCs w:val="24"/>
                <w:vertAlign w:val="subscript"/>
              </w:rPr>
            </w:pPr>
            <w:r>
              <w:rPr>
                <w:b/>
                <w:i/>
                <w:color w:val="000000"/>
                <w:sz w:val="24"/>
                <w:szCs w:val="24"/>
              </w:rPr>
              <w:t>С</w:t>
            </w:r>
            <w:r>
              <w:rPr>
                <w:b/>
                <w:i/>
                <w:color w:val="000000"/>
                <w:sz w:val="24"/>
                <w:szCs w:val="24"/>
                <w:lang w:val="en-US"/>
              </w:rPr>
              <w:t>K</w:t>
            </w:r>
            <w:r>
              <w:rPr>
                <w:b/>
                <w:i/>
                <w:color w:val="000000"/>
                <w:sz w:val="24"/>
                <w:szCs w:val="24"/>
                <w:vertAlign w:val="subscript"/>
                <w:lang w:val="en-US"/>
              </w:rPr>
              <w:t>i</w:t>
            </w:r>
          </w:p>
          <w:p>
            <w:pPr>
              <w:pStyle w:val="Normal"/>
              <w:widowControl w:val="false"/>
              <w:spacing w:lineRule="auto" w:line="240"/>
              <w:ind w:left="0" w:right="-108" w:firstLine="567"/>
              <w:rPr>
                <w:color w:val="000000"/>
                <w:sz w:val="24"/>
                <w:szCs w:val="24"/>
              </w:rPr>
            </w:pPr>
            <w:r>
              <w:rPr>
                <w:color w:val="000000"/>
                <w:sz w:val="24"/>
                <w:szCs w:val="24"/>
              </w:rPr>
            </w:r>
          </w:p>
        </w:tc>
        <w:tc>
          <w:tcPr>
            <w:tcW w:w="280" w:type="dxa"/>
            <w:tcBorders/>
            <w:shd w:color="auto" w:fill="auto" w:val="clear"/>
          </w:tcPr>
          <w:p>
            <w:pPr>
              <w:pStyle w:val="Normal"/>
              <w:widowControl w:val="false"/>
              <w:spacing w:lineRule="auto" w:line="240"/>
              <w:ind w:left="0" w:right="-108" w:hanging="0"/>
              <w:rPr>
                <w:color w:val="000000"/>
                <w:sz w:val="24"/>
                <w:szCs w:val="24"/>
              </w:rPr>
            </w:pPr>
            <w:r>
              <w:rPr>
                <w:sz w:val="24"/>
                <w:szCs w:val="24"/>
              </w:rPr>
              <w:t>-</w:t>
            </w:r>
            <w:r>
              <w:rPr>
                <w:color w:val="000000"/>
                <w:sz w:val="24"/>
                <w:szCs w:val="24"/>
              </w:rPr>
              <w:t xml:space="preserve">  </w:t>
            </w:r>
          </w:p>
        </w:tc>
        <w:tc>
          <w:tcPr>
            <w:tcW w:w="8509" w:type="dxa"/>
            <w:tcBorders/>
            <w:shd w:color="auto" w:fill="auto" w:val="clear"/>
          </w:tcPr>
          <w:p>
            <w:pPr>
              <w:pStyle w:val="Normal"/>
              <w:widowControl w:val="false"/>
              <w:spacing w:lineRule="auto" w:line="240"/>
              <w:ind w:left="-75" w:right="-108" w:firstLine="567"/>
              <w:rPr>
                <w:color w:val="000000"/>
                <w:sz w:val="24"/>
                <w:szCs w:val="24"/>
              </w:rPr>
            </w:pPr>
            <w:r>
              <w:rPr>
                <w:rFonts w:eastAsia="Times New Roman" w:cs="Times New Roman"/>
                <w:sz w:val="24"/>
                <w:szCs w:val="24"/>
                <w:lang w:eastAsia="ru-RU"/>
              </w:rPr>
              <w:t xml:space="preserve">размер собственных средств (капитала) i-ой кредитной организации </w:t>
              <w:br/>
              <w:t xml:space="preserve">на 1 января текущего календарного года по данным отчетности </w:t>
              <w:br/>
              <w:t>(в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9">
              <w:r>
                <w:rPr>
                  <w:rStyle w:val="Hyperlink"/>
                  <w:rFonts w:eastAsia="Times New Roman" w:cs="Times New Roman"/>
                  <w:sz w:val="24"/>
                  <w:szCs w:val="24"/>
                  <w:lang w:eastAsia="ru-RU"/>
                </w:rPr>
                <w:t>www.cbr.ru</w:t>
              </w:r>
            </w:hyperlink>
            <w:r>
              <w:rPr>
                <w:rFonts w:eastAsia="Times New Roman" w:cs="Times New Roman"/>
                <w:sz w:val="24"/>
                <w:szCs w:val="24"/>
                <w:lang w:eastAsia="ru-RU"/>
              </w:rPr>
              <w:t>) на официальных сайтах ЦБ РФ и / или кредитной организации либо представленной кредитной организацией Обществу;</w:t>
            </w:r>
          </w:p>
        </w:tc>
      </w:tr>
      <w:tr>
        <w:trPr>
          <w:trHeight w:val="3894" w:hRule="atLeast"/>
        </w:trPr>
        <w:tc>
          <w:tcPr>
            <w:tcW w:w="817" w:type="dxa"/>
            <w:tcBorders/>
          </w:tcPr>
          <w:p>
            <w:pPr>
              <w:pStyle w:val="Normal"/>
              <w:widowControl w:val="false"/>
              <w:spacing w:lineRule="auto" w:line="240"/>
              <w:ind w:left="0" w:right="-108" w:hanging="0"/>
              <w:rPr>
                <w:b/>
                <w:i/>
                <w:i/>
                <w:color w:val="000000"/>
                <w:sz w:val="24"/>
                <w:szCs w:val="24"/>
              </w:rPr>
            </w:pPr>
            <w:r>
              <w:rPr>
                <w:b/>
                <w:i/>
                <w:color w:val="000000"/>
                <w:sz w:val="24"/>
                <w:szCs w:val="24"/>
              </w:rPr>
              <w:t>r</w:t>
            </w:r>
            <w:r>
              <w:rPr>
                <w:b/>
                <w:i/>
                <w:color w:val="000000"/>
                <w:sz w:val="24"/>
                <w:szCs w:val="24"/>
                <w:vertAlign w:val="subscript"/>
              </w:rPr>
              <w:t>i</w:t>
            </w:r>
          </w:p>
        </w:tc>
        <w:tc>
          <w:tcPr>
            <w:tcW w:w="280" w:type="dxa"/>
            <w:tcBorders/>
          </w:tcPr>
          <w:p>
            <w:pPr>
              <w:pStyle w:val="Normal"/>
              <w:widowControl w:val="false"/>
              <w:spacing w:lineRule="auto" w:line="240"/>
              <w:ind w:left="0" w:right="-108" w:hanging="0"/>
              <w:rPr>
                <w:sz w:val="24"/>
                <w:szCs w:val="24"/>
              </w:rPr>
            </w:pPr>
            <w:r>
              <w:rPr>
                <w:sz w:val="24"/>
                <w:szCs w:val="24"/>
              </w:rPr>
              <w:t>-</w:t>
            </w:r>
          </w:p>
        </w:tc>
        <w:tc>
          <w:tcPr>
            <w:tcW w:w="8509" w:type="dxa"/>
            <w:tcBorders/>
          </w:tcPr>
          <w:p>
            <w:pPr>
              <w:pStyle w:val="Normal"/>
              <w:widowControl w:val="false"/>
              <w:tabs>
                <w:tab w:val="left" w:pos="709" w:leader="none"/>
                <w:tab w:val="left" w:pos="851" w:leader="none"/>
              </w:tabs>
              <w:suppressAutoHyphens w:val="true"/>
              <w:overflowPunct w:val="false"/>
              <w:bidi w:val="0"/>
              <w:spacing w:lineRule="auto" w:line="240" w:before="0" w:after="0"/>
              <w:ind w:left="680" w:right="0" w:hanging="0"/>
              <w:jc w:val="both"/>
              <w:rPr/>
            </w:pPr>
            <w:r>
              <w:rPr>
                <w:rFonts w:eastAsia="Times New Roman" w:cs="Times New Roman"/>
                <w:sz w:val="24"/>
                <w:szCs w:val="24"/>
                <w:lang w:eastAsia="ru-RU"/>
              </w:rPr>
              <w:t>рейтинговый коэффициент</w:t>
            </w:r>
            <w:r>
              <w:rPr>
                <w:rStyle w:val="FootnoteReference"/>
                <w:rFonts w:eastAsia="Times New Roman" w:cs="Times New Roman"/>
                <w:sz w:val="24"/>
                <w:szCs w:val="24"/>
                <w:lang w:eastAsia="ru-RU"/>
              </w:rPr>
              <w:footnoteReference w:id="21"/>
            </w:r>
            <w:r>
              <w:rPr>
                <w:rFonts w:eastAsia="Times New Roman" w:cs="Times New Roman"/>
                <w:sz w:val="24"/>
                <w:szCs w:val="24"/>
                <w:lang w:eastAsia="ru-RU"/>
              </w:rPr>
              <w:t xml:space="preserve"> для i-ой кредитной организации, равный:</w:t>
            </w:r>
          </w:p>
          <w:p>
            <w:pPr>
              <w:pStyle w:val="Normal"/>
              <w:widowControl w:val="false"/>
              <w:tabs>
                <w:tab w:val="left" w:pos="709" w:leader="none"/>
                <w:tab w:val="left" w:pos="851" w:leader="none"/>
              </w:tabs>
              <w:spacing w:lineRule="auto" w:line="240" w:before="0" w:after="0"/>
              <w:ind w:left="0" w:right="-108" w:firstLine="709"/>
              <w:jc w:val="both"/>
              <w:rPr>
                <w:sz w:val="24"/>
                <w:szCs w:val="24"/>
              </w:rPr>
            </w:pPr>
            <w:r>
              <w:rPr>
                <w:rFonts w:eastAsia="Times New Roman" w:cs="Times New Roman"/>
                <w:b/>
                <w:sz w:val="24"/>
                <w:szCs w:val="24"/>
                <w:lang w:eastAsia="ru-RU"/>
              </w:rPr>
              <w:t>0,075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«АА-»</w:t>
            </w:r>
            <w:r>
              <w:rPr>
                <w:rFonts w:eastAsia="Times New Roman" w:cs="Times New Roman"/>
                <w:sz w:val="24"/>
                <w:szCs w:val="24"/>
                <w:lang w:eastAsia="ru-RU"/>
              </w:rPr>
              <w:t xml:space="preserve">по классификации рейтингового агентства АКРА или не ниже уровня </w:t>
            </w:r>
            <w:r>
              <w:rPr>
                <w:rFonts w:eastAsia="Times New Roman" w:cs="Times New Roman"/>
                <w:b/>
                <w:sz w:val="24"/>
                <w:szCs w:val="24"/>
                <w:lang w:eastAsia="ru-RU"/>
              </w:rPr>
              <w:t>«</w:t>
            </w:r>
            <w:r>
              <w:rPr>
                <w:rFonts w:eastAsia="Times New Roman" w:cs="Times New Roman"/>
                <w:b/>
                <w:sz w:val="24"/>
                <w:szCs w:val="24"/>
                <w:lang w:val="en-US" w:eastAsia="ru-RU"/>
              </w:rPr>
              <w:t>ru</w:t>
            </w:r>
            <w:r>
              <w:rPr>
                <w:rFonts w:eastAsia="Times New Roman" w:cs="Times New Roman"/>
                <w:b/>
                <w:sz w:val="24"/>
                <w:szCs w:val="24"/>
                <w:lang w:eastAsia="ru-RU"/>
              </w:rPr>
              <w:t>А</w:t>
            </w:r>
            <w:r>
              <w:rPr>
                <w:rFonts w:eastAsia="Times New Roman" w:cs="Times New Roman"/>
                <w:b/>
                <w:sz w:val="24"/>
                <w:szCs w:val="24"/>
                <w:lang w:val="en-US" w:eastAsia="ru-RU"/>
              </w:rPr>
              <w:t>A</w:t>
            </w:r>
            <w:r>
              <w:rPr>
                <w:rFonts w:eastAsia="Times New Roman" w:cs="Times New Roman"/>
                <w:b/>
                <w:sz w:val="24"/>
                <w:szCs w:val="24"/>
                <w:lang w:eastAsia="ru-RU"/>
              </w:rPr>
              <w:t>-»</w:t>
            </w:r>
            <w:r>
              <w:rPr>
                <w:rFonts w:eastAsia="Times New Roman" w:cs="Times New Roman"/>
                <w:sz w:val="24"/>
                <w:szCs w:val="24"/>
                <w:lang w:eastAsia="ru-RU"/>
              </w:rPr>
              <w:t xml:space="preserve"> по классификации рейтингового агентства Эксперт РА;</w:t>
            </w:r>
          </w:p>
          <w:p>
            <w:pPr>
              <w:pStyle w:val="Normal"/>
              <w:widowControl w:val="false"/>
              <w:tabs>
                <w:tab w:val="left" w:pos="709" w:leader="none"/>
                <w:tab w:val="left" w:pos="851" w:leader="none"/>
              </w:tabs>
              <w:spacing w:lineRule="auto" w:line="240" w:before="0" w:after="0"/>
              <w:ind w:left="0" w:right="-108" w:firstLine="709"/>
              <w:jc w:val="both"/>
              <w:rPr>
                <w:sz w:val="24"/>
                <w:szCs w:val="24"/>
              </w:rPr>
            </w:pPr>
            <w:r>
              <w:rPr>
                <w:rFonts w:eastAsia="Times New Roman" w:cs="Times New Roman"/>
                <w:b/>
                <w:sz w:val="24"/>
                <w:szCs w:val="24"/>
                <w:lang w:eastAsia="ru-RU"/>
              </w:rPr>
              <w:t>0,05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«А-»</w:t>
            </w:r>
            <w:r>
              <w:rPr>
                <w:rFonts w:eastAsia="Times New Roman" w:cs="Times New Roman"/>
                <w:sz w:val="24"/>
                <w:szCs w:val="24"/>
                <w:lang w:eastAsia="ru-RU"/>
              </w:rPr>
              <w:t xml:space="preserve"> по классификации рейтингового агентства АКРА или не ниже уровня </w:t>
            </w:r>
            <w:r>
              <w:rPr>
                <w:rFonts w:eastAsia="Times New Roman" w:cs="Times New Roman"/>
                <w:b/>
                <w:sz w:val="24"/>
                <w:szCs w:val="24"/>
                <w:lang w:eastAsia="ru-RU"/>
              </w:rPr>
              <w:t>«ruA-»</w:t>
            </w:r>
            <w:r>
              <w:rPr>
                <w:rFonts w:eastAsia="Times New Roman" w:cs="Times New Roman"/>
                <w:sz w:val="24"/>
                <w:szCs w:val="24"/>
                <w:lang w:eastAsia="ru-RU"/>
              </w:rPr>
              <w:t xml:space="preserve"> по классификации рейтингового агентства Эксперт РА;</w:t>
            </w:r>
          </w:p>
          <w:p>
            <w:pPr>
              <w:pStyle w:val="Normal"/>
              <w:widowControl w:val="false"/>
              <w:tabs>
                <w:tab w:val="clear" w:pos="709"/>
                <w:tab w:val="left" w:pos="7130" w:leader="none"/>
              </w:tabs>
              <w:spacing w:lineRule="auto" w:line="240"/>
              <w:ind w:left="0" w:right="-108" w:firstLine="567"/>
              <w:rPr>
                <w:sz w:val="24"/>
                <w:szCs w:val="24"/>
              </w:rPr>
            </w:pPr>
            <w:r>
              <w:rPr>
                <w:rFonts w:eastAsia="Times New Roman" w:cs="Times New Roman"/>
                <w:b/>
                <w:sz w:val="24"/>
                <w:szCs w:val="24"/>
                <w:lang w:eastAsia="ru-RU"/>
              </w:rPr>
              <w:t>0,025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w:t>
            </w:r>
            <w:r>
              <w:rPr>
                <w:rFonts w:eastAsia="Times New Roman" w:cs="Times New Roman"/>
                <w:b/>
                <w:sz w:val="24"/>
                <w:szCs w:val="24"/>
                <w:lang w:val="en-US" w:eastAsia="ru-RU"/>
              </w:rPr>
              <w:t>BB</w:t>
            </w:r>
            <w:r>
              <w:rPr>
                <w:rFonts w:eastAsia="Times New Roman" w:cs="Times New Roman"/>
                <w:b/>
                <w:sz w:val="24"/>
                <w:szCs w:val="24"/>
                <w:lang w:eastAsia="ru-RU"/>
              </w:rPr>
              <w:t>В»</w:t>
            </w:r>
            <w:r>
              <w:rPr>
                <w:rFonts w:eastAsia="Times New Roman" w:cs="Times New Roman"/>
                <w:sz w:val="24"/>
                <w:szCs w:val="24"/>
                <w:lang w:eastAsia="ru-RU"/>
              </w:rPr>
              <w:t xml:space="preserve"> по классификации рейтингового агентства АКРА или не ниже уровня «</w:t>
            </w:r>
            <w:r>
              <w:rPr>
                <w:rFonts w:eastAsia="Times New Roman" w:cs="Times New Roman"/>
                <w:sz w:val="24"/>
                <w:szCs w:val="24"/>
                <w:lang w:val="en-US" w:eastAsia="ru-RU"/>
              </w:rPr>
              <w:t>ruBB</w:t>
            </w:r>
            <w:r>
              <w:rPr>
                <w:rFonts w:eastAsia="Times New Roman" w:cs="Times New Roman"/>
                <w:sz w:val="24"/>
                <w:szCs w:val="24"/>
                <w:lang w:eastAsia="ru-RU"/>
              </w:rPr>
              <w:t>В» по классификации рейтингового агентства Эксперт РА, а также находится в процессе финансового оздоровления (санации).</w:t>
            </w:r>
          </w:p>
        </w:tc>
      </w:tr>
    </w:tbl>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425" w:leader="none"/>
        </w:tabs>
        <w:rPr>
          <w:sz w:val="24"/>
          <w:szCs w:val="24"/>
        </w:rPr>
      </w:pPr>
      <w:r>
        <w:rPr>
          <w:sz w:val="24"/>
          <w:szCs w:val="24"/>
        </w:rPr>
      </w:r>
    </w:p>
    <w:tbl>
      <w:tblPr>
        <w:tblW w:w="1375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961"/>
        <w:gridCol w:w="8789"/>
      </w:tblGrid>
      <w:tr>
        <w:trPr/>
        <w:tc>
          <w:tcPr>
            <w:tcW w:w="4961" w:type="dxa"/>
            <w:tcBorders/>
          </w:tcPr>
          <w:p>
            <w:pPr>
              <w:pStyle w:val="Normal"/>
              <w:widowControl w:val="false"/>
              <w:rPr>
                <w:b/>
                <w:sz w:val="24"/>
                <w:szCs w:val="24"/>
                <w:lang w:val="en-GB"/>
              </w:rPr>
            </w:pPr>
            <w:r>
              <w:rPr>
                <w:b/>
                <w:sz w:val="24"/>
                <w:szCs w:val="24"/>
              </w:rPr>
              <w:t>Покупатель</w:t>
            </w:r>
            <w:r>
              <w:rPr>
                <w:b/>
                <w:sz w:val="24"/>
                <w:szCs w:val="24"/>
                <w:lang w:val="en-GB"/>
              </w:rPr>
              <w:t>:</w:t>
            </w:r>
          </w:p>
        </w:tc>
        <w:tc>
          <w:tcPr>
            <w:tcW w:w="8789" w:type="dxa"/>
            <w:tcBorders/>
          </w:tcPr>
          <w:p>
            <w:pPr>
              <w:pStyle w:val="Normal"/>
              <w:widowControl w:val="false"/>
              <w:rPr>
                <w:b/>
                <w:sz w:val="24"/>
                <w:szCs w:val="24"/>
                <w:lang w:val="en-GB"/>
              </w:rPr>
            </w:pPr>
            <w:r>
              <w:rPr>
                <w:b/>
                <w:sz w:val="24"/>
                <w:szCs w:val="24"/>
              </w:rPr>
              <w:t>Поставщик</w:t>
            </w:r>
            <w:r>
              <w:rPr>
                <w:b/>
                <w:sz w:val="24"/>
                <w:szCs w:val="24"/>
                <w:lang w:val="en-GB"/>
              </w:rPr>
              <w:t>:</w:t>
            </w:r>
          </w:p>
        </w:tc>
      </w:tr>
      <w:tr>
        <w:trPr/>
        <w:tc>
          <w:tcPr>
            <w:tcW w:w="4961"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tc>
        <w:tc>
          <w:tcPr>
            <w:tcW w:w="8789"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r>
          </w:p>
        </w:tc>
      </w:tr>
    </w:tbl>
    <w:p>
      <w:pPr>
        <w:pStyle w:val="Normal"/>
        <w:suppressAutoHyphens w:val="true"/>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suppressAutoHyphens w:val="true"/>
        <w:ind w:right="96" w:firstLine="5529"/>
        <w:rPr>
          <w:sz w:val="22"/>
          <w:szCs w:val="22"/>
        </w:rPr>
      </w:pPr>
      <w:r>
        <w:rPr>
          <w:sz w:val="22"/>
          <w:szCs w:val="22"/>
        </w:rPr>
        <w:t>Приложение № 4</w:t>
      </w:r>
    </w:p>
    <w:p>
      <w:pPr>
        <w:pStyle w:val="Normal"/>
        <w:suppressAutoHyphens w:val="true"/>
        <w:ind w:right="96" w:firstLine="5529"/>
        <w:rPr>
          <w:sz w:val="22"/>
          <w:szCs w:val="22"/>
        </w:rPr>
      </w:pPr>
      <w:r>
        <w:rPr>
          <w:sz w:val="22"/>
          <w:szCs w:val="22"/>
        </w:rPr>
        <w:t>к Договору поставки</w:t>
      </w:r>
    </w:p>
    <w:p>
      <w:pPr>
        <w:pStyle w:val="Normal"/>
        <w:ind w:firstLine="5529"/>
        <w:rPr>
          <w:bCs/>
          <w:sz w:val="24"/>
          <w:szCs w:val="24"/>
        </w:rPr>
      </w:pPr>
      <w:r>
        <w:rPr>
          <w:sz w:val="22"/>
          <w:szCs w:val="22"/>
        </w:rPr>
        <w:t>от «____» __________ 20 _ г.</w:t>
      </w:r>
      <w:r>
        <w:rPr>
          <w:sz w:val="24"/>
          <w:szCs w:val="24"/>
        </w:rPr>
        <w:t xml:space="preserve">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uppressAutoHyphens w:val="true"/>
        <w:spacing w:lineRule="auto" w:line="25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1.1. Нарушение ППБ без возникновения пожара</w:t>
            </w:r>
          </w:p>
          <w:p>
            <w:pPr>
              <w:pStyle w:val="Normal"/>
              <w:widowControl w:val="false"/>
              <w:jc w:val="both"/>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bl>
    <w:p>
      <w:pPr>
        <w:pStyle w:val="Normal"/>
        <w:ind w:left="5103" w:hanging="0"/>
        <w:rPr>
          <w:sz w:val="24"/>
          <w:szCs w:val="24"/>
        </w:rPr>
      </w:pPr>
      <w:r>
        <w:rPr>
          <w:sz w:val="24"/>
          <w:szCs w:val="24"/>
        </w:rPr>
      </w:r>
    </w:p>
    <w:p>
      <w:pPr>
        <w:pStyle w:val="Normal"/>
        <w:ind w:left="5103" w:hanging="0"/>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ind w:left="5103" w:hanging="0"/>
        <w:rPr>
          <w:b/>
          <w:bCs/>
          <w:sz w:val="24"/>
          <w:szCs w:val="24"/>
        </w:rPr>
      </w:pPr>
      <w:r>
        <w:rPr>
          <w:b/>
          <w:bCs/>
          <w:sz w:val="24"/>
          <w:szCs w:val="24"/>
        </w:rPr>
      </w:r>
    </w:p>
    <w:p>
      <w:pPr>
        <w:pStyle w:val="Normal"/>
        <w:widowControl/>
        <w:rPr>
          <w:b/>
          <w:bCs/>
          <w:sz w:val="24"/>
          <w:szCs w:val="24"/>
        </w:rPr>
      </w:pPr>
      <w:r>
        <w:rPr/>
      </w:r>
    </w:p>
    <w:sectPr>
      <w:headerReference w:type="default" r:id="rId10"/>
      <w:headerReference w:type="first" r:id="rId11"/>
      <w:footerReference w:type="default" r:id="rId12"/>
      <w:footerReference w:type="first" r:id="rId13"/>
      <w:footnotePr>
        <w:numFmt w:val="decimal"/>
      </w:footnotePr>
      <w:type w:val="nextPage"/>
      <w:pgSz w:w="11906" w:h="16838"/>
      <w:pgMar w:left="1418" w:right="851" w:gutter="0" w:header="567" w:top="1134" w:footer="314" w:bottom="851"/>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Times New Roman">
    <w:altName w:val="serif"/>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20</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26</w:t>
    </w:r>
    <w:r>
      <w:rPr>
        <w:sz w:val="24"/>
        <w:szCs w:val="24"/>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4"/>
        </w:rPr>
        <w:footnoteRef/>
      </w:r>
      <w:r>
        <w:rPr/>
        <w:t xml:space="preserve"> </w:t>
      </w:r>
      <w:r>
        <w:rPr/>
        <w:t>Указывается меньший размер платежей в случае применения ссылки к пункту 2.5.2 Договора о закупке кранового оборудования.</w:t>
      </w:r>
    </w:p>
  </w:footnote>
  <w:footnote w:id="3">
    <w:p>
      <w:pPr>
        <w:pStyle w:val="FootnoteText"/>
        <w:jc w:val="both"/>
        <w:rPr/>
      </w:pPr>
      <w:r>
        <w:rPr>
          <w:rStyle w:val="Style14"/>
        </w:rPr>
        <w:footnoteRef/>
      </w:r>
      <w:r>
        <w:rPr/>
        <w:t xml:space="preserve"> </w:t>
      </w:r>
      <w:r>
        <w:rPr/>
        <w:t>Для договоров, заключенных в рамках операционной (текущей) деятельности Заказчика.</w:t>
      </w:r>
    </w:p>
  </w:footnote>
  <w:footnote w:id="4">
    <w:p>
      <w:pPr>
        <w:pStyle w:val="FootnoteText"/>
        <w:jc w:val="both"/>
        <w:rPr/>
      </w:pPr>
      <w:r>
        <w:rPr>
          <w:rStyle w:val="Style14"/>
        </w:rPr>
        <w:footnoteRef/>
      </w:r>
      <w:r>
        <w:rPr/>
        <w:t xml:space="preserve"> </w:t>
      </w:r>
      <w:r>
        <w:rPr/>
        <w:t>Для договоров, заключенных в рамках реализации инвестиционной программы Заказчика.</w:t>
      </w:r>
    </w:p>
  </w:footnote>
  <w:footnote w:id="5">
    <w:p>
      <w:pPr>
        <w:pStyle w:val="FootnoteText"/>
        <w:jc w:val="both"/>
        <w:rPr/>
      </w:pPr>
      <w:r>
        <w:rPr>
          <w:rStyle w:val="Style14"/>
        </w:rPr>
        <w:footnoteRef/>
      </w:r>
      <w:r>
        <w:rPr/>
        <w:t xml:space="preserve"> </w:t>
      </w:r>
      <w:r>
        <w:rPr/>
        <w:t>В случае если Контрагент – МСП, при этом Заказчик попадает под действие постановления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6">
    <w:p>
      <w:pPr>
        <w:pStyle w:val="FootnoteText"/>
        <w:jc w:val="both"/>
        <w:rPr/>
      </w:pPr>
      <w:r>
        <w:rPr>
          <w:rStyle w:val="Style14"/>
        </w:rPr>
        <w:footnoteRef/>
      </w:r>
      <w:r>
        <w:rPr/>
        <w:t xml:space="preserve"> </w:t>
      </w:r>
      <w:r>
        <w:rPr/>
        <w:t xml:space="preserve">Указанное условие включается в Договор, если Договором предусмотрена поставка оборудования, входящего в перечень, утвержденный приказом Минпромторга России от 22.02.2022 № 544 «Об утверждении перечня оборудования, эксплуатируемого по итогам реализации проектов по модернизации, реконструкции или строительству генерирующих объектов тепловых электростанций, включенных в перечень генерирующих объектов тепловых электростанций, подлежащих модернизации (реконструкции) или строительству </w:t>
        <w:br/>
        <w:t>в неценовых зонах оптового рынка электрической энергии и мощности, в отношении которого необходимо получить заключение о подтверждении производства промышленной продукции на территории Российской Федерации» (или заменяющим его документом).</w:t>
      </w:r>
    </w:p>
  </w:footnote>
  <w:footnote w:id="7">
    <w:p>
      <w:pPr>
        <w:pStyle w:val="FootnoteText"/>
        <w:jc w:val="both"/>
        <w:rPr/>
      </w:pPr>
      <w:r>
        <w:rPr>
          <w:rStyle w:val="Style14"/>
        </w:rPr>
        <w:footnoteRef/>
      </w:r>
      <w:r>
        <w:rPr/>
        <w:t xml:space="preserve"> </w:t>
      </w:r>
      <w:r>
        <w:rPr/>
        <w:t>В случае непредоставления новой Банковской гарантии возврата авансового платежа.</w:t>
      </w:r>
    </w:p>
  </w:footnote>
  <w:footnote w:id="8">
    <w:p>
      <w:pPr>
        <w:pStyle w:val="FootnoteText"/>
        <w:jc w:val="both"/>
        <w:rPr/>
      </w:pPr>
      <w:r>
        <w:rPr>
          <w:rStyle w:val="Style14"/>
        </w:rPr>
        <w:footnoteRef/>
      </w:r>
      <w:r>
        <w:rPr/>
        <w:t xml:space="preserve"> </w:t>
      </w:r>
      <w:r>
        <w:rPr>
          <w:shd w:fill="auto" w:val="clear"/>
        </w:rPr>
        <w:t>Данный пункт применяется только в случае, если в отношении Контрагента (победителя закупки) введены санкции / ограничительные меры. Форма Дополнительного соглашения является типовой (ТФД № 12.3).</w:t>
      </w:r>
    </w:p>
  </w:footnote>
  <w:footnote w:id="9">
    <w:p>
      <w:pPr>
        <w:pStyle w:val="FootnoteText"/>
        <w:jc w:val="both"/>
        <w:rPr/>
      </w:pPr>
      <w:r>
        <w:rPr>
          <w:rStyle w:val="Style14"/>
        </w:rPr>
        <w:footnoteRef/>
      </w:r>
      <w:r>
        <w:rPr/>
        <w:t xml:space="preserve"> </w:t>
      </w:r>
      <w:r>
        <w:rPr/>
        <w:t>Указанное условие включается в Договор, если в пункте 4.8 Договора установлена обязанность Поставщика предоставить Покупателю копию(-и) заключения(-ий) о подтверждении производства Товара на территории Российской Федерации, выданного(-ых) Минпромторгом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w:t>
      </w:r>
    </w:p>
  </w:footnote>
  <w:footnote w:id="10">
    <w:p>
      <w:pPr>
        <w:pStyle w:val="FootnoteText"/>
        <w:jc w:val="both"/>
        <w:rPr/>
      </w:pPr>
      <w:r>
        <w:rPr>
          <w:rStyle w:val="Style14"/>
        </w:rPr>
        <w:footnoteRef/>
      </w:r>
      <w:r>
        <w:rPr/>
        <w:t xml:space="preserve"> </w:t>
      </w:r>
      <w:r>
        <w:rPr>
          <w:shd w:fill="auto" w:val="clear"/>
        </w:rPr>
        <w:t>Применяется в случае наличия между Сторонами заключенного соглашения о переходе на электронный</w:t>
      </w:r>
      <w:r>
        <w:rPr>
          <w:highlight w:val="lightGray"/>
        </w:rPr>
        <w:t xml:space="preserve"> </w:t>
      </w:r>
      <w:r>
        <w:rPr>
          <w:shd w:fill="auto" w:val="clear"/>
        </w:rPr>
        <w:t>юридически значимый документооборот (Соглашения об ЭДО).</w:t>
      </w:r>
    </w:p>
  </w:footnote>
  <w:footnote w:id="11">
    <w:p>
      <w:pPr>
        <w:pStyle w:val="FootnoteText"/>
        <w:jc w:val="both"/>
        <w:rPr/>
      </w:pPr>
      <w:r>
        <w:rPr>
          <w:rStyle w:val="Style14"/>
        </w:rPr>
        <w:footnoteRef/>
      </w:r>
      <w:r>
        <w:rPr/>
        <w:t xml:space="preserve"> </w:t>
      </w:r>
      <w:r>
        <w:rPr/>
        <w:t>В случае если Поставщик является СМП,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12">
    <w:p>
      <w:pPr>
        <w:pStyle w:val="FootnoteText"/>
        <w:jc w:val="both"/>
        <w:rPr/>
      </w:pPr>
      <w:r>
        <w:rPr>
          <w:rStyle w:val="Style14"/>
        </w:rPr>
        <w:footnoteRef/>
      </w:r>
      <w:r>
        <w:rPr/>
        <w:t xml:space="preserve"> </w:t>
      </w:r>
      <w:r>
        <w:rPr>
          <w:shd w:fill="auto" w:val="clear"/>
        </w:rPr>
        <w:t>Применяется в случае подписания собственноручно без использования усиленных квалифицированных электронных подписей (УКЭП).</w:t>
      </w:r>
    </w:p>
  </w:footnote>
  <w:footnote w:id="13">
    <w:p>
      <w:pPr>
        <w:pStyle w:val="FootnoteText"/>
        <w:jc w:val="both"/>
        <w:rPr/>
      </w:pPr>
      <w:r>
        <w:rPr>
          <w:rStyle w:val="Style14"/>
        </w:rPr>
        <w:footnoteRef/>
      </w:r>
      <w:r>
        <w:rPr/>
        <w:t xml:space="preserve"> </w:t>
      </w:r>
      <w:r>
        <w:rPr/>
        <w:t xml:space="preserve">В соответствии с Общероссийским классификатором стран мира (утв. постановлением Госстандарта России </w:t>
        <w:br/>
        <w:t>от 14.12.2001 № 529-ст).</w:t>
      </w:r>
    </w:p>
  </w:footnote>
  <w:footnote w:id="14">
    <w:p>
      <w:pPr>
        <w:pStyle w:val="FootnoteText"/>
        <w:jc w:val="both"/>
        <w:rPr/>
      </w:pPr>
      <w:r>
        <w:rPr>
          <w:rStyle w:val="Style14"/>
        </w:rPr>
        <w:footnoteRef/>
      </w:r>
      <w:r>
        <w:rPr/>
        <w:t xml:space="preserve"> </w:t>
      </w:r>
      <w:r>
        <w:rPr>
          <w:bCs/>
        </w:rPr>
        <w:t>Порядковый номер (номера) реестровой записи (реестровых записей), под которой (которыми) Товар  включен</w:t>
      </w:r>
      <w:bookmarkStart w:id="11" w:name="_GoBack_Копия_1_Копия_1_Копия_1_Копия_1_"/>
      <w:bookmarkEnd w:id="11"/>
      <w:r>
        <w:rPr>
          <w:bCs/>
        </w:rPr>
        <w:t xml:space="preserve"> в реестры, предусмотренные пунктом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r>
        <w:rPr>
          <w:rFonts w:eastAsia="Calibri" w:eastAsiaTheme="minorHAnsi"/>
          <w:lang w:eastAsia="en-US"/>
        </w:rPr>
        <w:t>.</w:t>
      </w:r>
    </w:p>
  </w:footnote>
  <w:footnote w:id="15">
    <w:p>
      <w:pPr>
        <w:pStyle w:val="FootnoteText"/>
        <w:jc w:val="both"/>
        <w:rPr/>
      </w:pPr>
      <w:r>
        <w:rPr>
          <w:rStyle w:val="Style14"/>
        </w:rPr>
        <w:footnoteRef/>
      </w:r>
      <w:r>
        <w:rPr/>
        <w:t xml:space="preserve"> </w:t>
      </w:r>
      <w:r>
        <w:rPr/>
        <w:t xml:space="preserve">Не распространяются на договоры, заключенные по результатам конкурентной закупки товаров, работ, услуг в электронной форме только среди субъектов малого и среднего предпринимательства, требования к гарантам </w:t>
        <w:br/>
        <w:t>по которым предусмотрены федеральным законом от 18.07.2011 № 223-ФЗ «О закупках товаров, работ, услуг отдельными видами юридических лиц».</w:t>
      </w:r>
    </w:p>
  </w:footnote>
  <w:footnote w:id="16">
    <w:p>
      <w:pPr>
        <w:pStyle w:val="FootnoteText"/>
        <w:jc w:val="both"/>
        <w:rPr/>
      </w:pPr>
      <w:r>
        <w:rPr>
          <w:rStyle w:val="Style14"/>
        </w:rPr>
        <w:footnoteRef/>
      </w:r>
      <w:r>
        <w:rPr>
          <w:lang w:eastAsia="x-none"/>
        </w:rPr>
        <w:t xml:space="preserve"> </w:t>
      </w:r>
      <w:r>
        <w:rPr>
          <w:lang w:eastAsia="x-none"/>
        </w:rPr>
        <w:t xml:space="preserve">Актуальный Перечень Банков-Гарантов Группы РусГидро размещен на официальном сайте Заказчика </w:t>
      </w:r>
      <w:r>
        <w:rPr/>
        <w:t>http</w:t>
      </w:r>
      <w:r>
        <w:rPr>
          <w:lang w:eastAsia="x-none"/>
        </w:rPr>
        <w:t>://</w:t>
      </w:r>
      <w:r>
        <w:rPr/>
        <w:t>zakupki</w:t>
      </w:r>
      <w:r>
        <w:rPr>
          <w:lang w:eastAsia="x-none"/>
        </w:rPr>
        <w:t>.</w:t>
      </w:r>
      <w:r>
        <w:rPr/>
        <w:t>rushydro</w:t>
      </w:r>
      <w:r>
        <w:rPr>
          <w:lang w:eastAsia="x-none"/>
        </w:rPr>
        <w:t>.</w:t>
      </w:r>
      <w:r>
        <w:rPr/>
        <w:t>ru</w:t>
      </w:r>
      <w:r>
        <w:rPr>
          <w:lang w:eastAsia="x-none"/>
        </w:rPr>
        <w:t>/</w:t>
      </w:r>
      <w:r>
        <w:rPr/>
        <w:t>PublicContent</w:t>
      </w:r>
      <w:r>
        <w:rPr>
          <w:lang w:eastAsia="x-none"/>
        </w:rPr>
        <w:t>/</w:t>
      </w:r>
      <w:r>
        <w:rPr/>
        <w:t>Section</w:t>
      </w:r>
      <w:r>
        <w:rPr>
          <w:lang w:eastAsia="x-none"/>
        </w:rPr>
        <w:t>/.</w:t>
      </w:r>
    </w:p>
  </w:footnote>
  <w:footnote w:id="17">
    <w:p>
      <w:pPr>
        <w:pStyle w:val="FootnoteText"/>
        <w:jc w:val="both"/>
        <w:rPr/>
      </w:pPr>
      <w:r>
        <w:rPr>
          <w:rStyle w:val="Style14"/>
        </w:rPr>
        <w:footnoteRef/>
      </w:r>
      <w:r>
        <w:rPr>
          <w:lang w:eastAsia="x-none"/>
        </w:rPr>
        <w:t xml:space="preserve"> </w:t>
      </w:r>
      <w:r>
        <w:rPr>
          <w:lang w:eastAsia="x-none"/>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Pr/>
        <w:t>Reuters</w:t>
      </w:r>
      <w:r>
        <w:rPr>
          <w:lang w:eastAsia="x-none"/>
        </w:rPr>
        <w:t xml:space="preserve">, </w:t>
      </w:r>
      <w:r>
        <w:rPr/>
        <w:t>Bloomberg</w:t>
      </w:r>
      <w:r>
        <w:rPr>
          <w:lang w:eastAsia="x-none"/>
        </w:rPr>
        <w:t>, С</w:t>
      </w:r>
      <w:r>
        <w:rPr/>
        <w:t>bonds</w:t>
      </w:r>
      <w:r>
        <w:rPr>
          <w:lang w:eastAsia="x-none"/>
        </w:rPr>
        <w:t>).</w:t>
      </w:r>
    </w:p>
  </w:footnote>
  <w:footnote w:id="18">
    <w:p>
      <w:pPr>
        <w:pStyle w:val="FootnoteText"/>
        <w:jc w:val="both"/>
        <w:rPr/>
      </w:pPr>
      <w:r>
        <w:rPr>
          <w:rStyle w:val="Style14"/>
        </w:rPr>
        <w:footnoteRef/>
      </w:r>
      <w:r>
        <w:rPr>
          <w:lang w:eastAsia="x-none"/>
        </w:rPr>
        <w:t xml:space="preserve"> </w:t>
      </w:r>
      <w:r>
        <w:rPr>
          <w:lang w:eastAsia="x-none"/>
        </w:rPr>
        <w:t>Данное требование не применяется в отношении небанковских кредитных организаций.</w:t>
      </w:r>
    </w:p>
  </w:footnote>
  <w:footnote w:id="19">
    <w:p>
      <w:pPr>
        <w:pStyle w:val="FootnoteText"/>
        <w:jc w:val="both"/>
        <w:rPr/>
      </w:pPr>
      <w:r>
        <w:rPr>
          <w:rStyle w:val="Style14"/>
        </w:rPr>
        <w:footnoteRef/>
      </w:r>
      <w:r>
        <w:rPr>
          <w:lang w:eastAsia="x-none"/>
        </w:rPr>
        <w:t xml:space="preserve"> </w:t>
      </w:r>
      <w:r>
        <w:rPr>
          <w:lang w:eastAsia="x-none"/>
        </w:rPr>
        <w:t>При издании ПО организационно-распорядительного документа о ТФУ данный критерий может быть исключен.</w:t>
      </w:r>
    </w:p>
  </w:footnote>
  <w:footnote w:id="20">
    <w:p>
      <w:pPr>
        <w:pStyle w:val="FootnoteText"/>
        <w:jc w:val="both"/>
        <w:rPr/>
      </w:pPr>
      <w:r>
        <w:rPr>
          <w:rStyle w:val="Style14"/>
        </w:rPr>
        <w:footnoteRef/>
      </w:r>
      <w:r>
        <w:rPr/>
        <w:t xml:space="preserve"> </w:t>
      </w:r>
      <w:r>
        <w:rPr>
          <w:rFonts w:cs="Times New Roman"/>
        </w:rPr>
        <w:t xml:space="preserve">Значение показателя округляется в большую или меньшую сторону до суммы, кратной 100 млн. руб. </w:t>
        <w:br/>
        <w:t xml:space="preserve">по правилам математического округления. В случае если первая из отделяемых цифр меньше 5,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w:t>
        <w:br/>
        <w:t xml:space="preserve">к установлению - 5 400 млн. руб.; расчетное значение лимита - 5 450 млн. руб., лимит к установлению - </w:t>
        <w:br/>
        <w:t>5 500 млн. руб.</w:t>
      </w:r>
    </w:p>
  </w:footnote>
  <w:footnote w:id="21">
    <w:p>
      <w:pPr>
        <w:pStyle w:val="FootnoteText"/>
        <w:jc w:val="both"/>
        <w:rPr/>
      </w:pPr>
      <w:r>
        <w:rPr>
          <w:rStyle w:val="Style14"/>
        </w:rPr>
        <w:footnoteRef/>
      </w:r>
      <w:r>
        <w:rPr/>
        <w:t xml:space="preserve"> </w:t>
      </w:r>
      <w:r>
        <w:rPr>
          <w:rFonts w:cs="Times New Roman"/>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 или рейтинговых агентств и/или </w:t>
        <w:br/>
        <w:t>из информационных систем Reuters, Bloomberg, Сbonds).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64" w:leader="none"/>
      </w:tabs>
      <w:ind w:left="8364" w:hanging="426"/>
      <w:rPr>
        <w:i/>
        <w:i/>
      </w:rPr>
    </w:pPr>
    <w:r>
      <w:rPr>
        <w:i/>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3">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b w:val="false"/>
        <w:rFonts w:cs="Times New Roman"/>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4">
    <w:lvl w:ilvl="0">
      <w:start w:val="9"/>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36" w:hanging="720"/>
      </w:pPr>
      <w:rPr>
        <w:rFonts w:cs="Times New Roman"/>
      </w:rPr>
    </w:lvl>
    <w:lvl w:ilvl="2">
      <w:start w:val="1"/>
      <w:numFmt w:val="decimal"/>
      <w:lvlText w:val="%1.%2.%3."/>
      <w:lvlJc w:val="left"/>
      <w:pPr>
        <w:tabs>
          <w:tab w:val="num" w:pos="0"/>
        </w:tabs>
        <w:ind w:left="3552" w:hanging="720"/>
      </w:pPr>
      <w:rPr>
        <w:rFonts w:cs="Times New Roman"/>
      </w:rPr>
    </w:lvl>
    <w:lvl w:ilvl="3">
      <w:start w:val="1"/>
      <w:numFmt w:val="decimal"/>
      <w:lvlText w:val="%1.%2.%3.%4."/>
      <w:lvlJc w:val="left"/>
      <w:pPr>
        <w:tabs>
          <w:tab w:val="num" w:pos="0"/>
        </w:tabs>
        <w:ind w:left="5328" w:hanging="1080"/>
      </w:pPr>
      <w:rPr>
        <w:rFonts w:cs="Times New Roman"/>
      </w:rPr>
    </w:lvl>
    <w:lvl w:ilvl="4">
      <w:start w:val="1"/>
      <w:numFmt w:val="decimal"/>
      <w:lvlText w:val="%1.%2.%3.%4.%5."/>
      <w:lvlJc w:val="left"/>
      <w:pPr>
        <w:tabs>
          <w:tab w:val="num" w:pos="0"/>
        </w:tabs>
        <w:ind w:left="6744" w:hanging="1080"/>
      </w:pPr>
      <w:rPr>
        <w:rFonts w:cs="Times New Roman"/>
      </w:rPr>
    </w:lvl>
    <w:lvl w:ilvl="5">
      <w:start w:val="1"/>
      <w:numFmt w:val="decimal"/>
      <w:lvlText w:val="%1.%2.%3.%4.%5.%6."/>
      <w:lvlJc w:val="left"/>
      <w:pPr>
        <w:tabs>
          <w:tab w:val="num" w:pos="0"/>
        </w:tabs>
        <w:ind w:left="8520" w:hanging="1440"/>
      </w:pPr>
      <w:rPr>
        <w:rFonts w:cs="Times New Roman"/>
      </w:rPr>
    </w:lvl>
    <w:lvl w:ilvl="6">
      <w:start w:val="1"/>
      <w:numFmt w:val="decimal"/>
      <w:lvlText w:val="%1.%2.%3.%4.%5.%6.%7."/>
      <w:lvlJc w:val="left"/>
      <w:pPr>
        <w:tabs>
          <w:tab w:val="num" w:pos="0"/>
        </w:tabs>
        <w:ind w:left="10296" w:hanging="1800"/>
      </w:pPr>
      <w:rPr>
        <w:rFonts w:cs="Times New Roman"/>
      </w:rPr>
    </w:lvl>
    <w:lvl w:ilvl="7">
      <w:start w:val="1"/>
      <w:numFmt w:val="decimal"/>
      <w:lvlText w:val="%1.%2.%3.%4.%5.%6.%7.%8."/>
      <w:lvlJc w:val="left"/>
      <w:pPr>
        <w:tabs>
          <w:tab w:val="num" w:pos="0"/>
        </w:tabs>
        <w:ind w:left="11712" w:hanging="1800"/>
      </w:pPr>
      <w:rPr>
        <w:rFonts w:cs="Times New Roman"/>
      </w:rPr>
    </w:lvl>
    <w:lvl w:ilvl="8">
      <w:start w:val="1"/>
      <w:numFmt w:val="decimal"/>
      <w:lvlText w:val="%1.%2.%3.%4.%5.%6.%7.%8.%9."/>
      <w:lvlJc w:val="left"/>
      <w:pPr>
        <w:tabs>
          <w:tab w:val="num" w:pos="0"/>
        </w:tabs>
        <w:ind w:left="13488" w:hanging="2160"/>
      </w:pPr>
      <w:rPr>
        <w:rFonts w:cs="Times New Roman"/>
      </w:rPr>
    </w:lvl>
  </w:abstractNum>
  <w:abstractNum w:abstractNumId="15">
    <w:lvl w:ilvl="0">
      <w:start w:val="6"/>
      <w:numFmt w:val="decimal"/>
      <w:lvlText w:val="%1."/>
      <w:lvlJc w:val="left"/>
      <w:pPr>
        <w:tabs>
          <w:tab w:val="num" w:pos="0"/>
        </w:tabs>
        <w:ind w:left="360" w:hanging="360"/>
      </w:pPr>
      <w:rPr/>
    </w:lvl>
    <w:lvl w:ilvl="1">
      <w:start w:val="5"/>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uiPriority w:val="99"/>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name w:val="Символ сноски"/>
    <w:uiPriority w:val="99"/>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Абзац списка Знак"/>
    <w:link w:val="ListParagraph"/>
    <w:uiPriority w:val="34"/>
    <w:qFormat/>
    <w:locked/>
    <w:rsid w:val="00182860"/>
    <w:rPr/>
  </w:style>
  <w:style w:type="character" w:styleId="LineNumber">
    <w:name w:val="Line Number"/>
    <w:rPr/>
  </w:style>
  <w:style w:type="character" w:styleId="Style18">
    <w:name w:val="Символ концевой сноски"/>
    <w:qFormat/>
    <w:rPr>
      <w:vertAlign w:val="superscript"/>
    </w:rPr>
  </w:style>
  <w:style w:type="character" w:styleId="EndnoteReference">
    <w:name w:val="Endnote Reference"/>
    <w:rPr>
      <w:vertAlign w:val="superscript"/>
    </w:rPr>
  </w:style>
  <w:style w:type="character" w:styleId="FollowedHyperlink">
    <w:name w:val="FollowedHyperlink"/>
    <w:rPr>
      <w:color w:val="800000"/>
      <w:u w:val="single"/>
    </w:rPr>
  </w:style>
  <w:style w:type="paragraph" w:styleId="Style19">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0">
    <w:name w:val="Указатель"/>
    <w:basedOn w:val="Normal"/>
    <w:qFormat/>
    <w:pPr>
      <w:suppressLineNumbers/>
    </w:pPr>
    <w:rPr/>
  </w:style>
  <w:style w:type="paragraph" w:styleId="Title">
    <w:name w:val="Title"/>
    <w:basedOn w:val="Normal"/>
    <w:link w:val="Style7"/>
    <w:qFormat/>
    <w:rsid w:val="00a264b0"/>
    <w:pPr>
      <w:jc w:val="center"/>
    </w:pPr>
    <w:rPr>
      <w:b/>
      <w:bCs/>
      <w:sz w:val="24"/>
      <w:szCs w:val="24"/>
    </w:rPr>
  </w:style>
  <w:style w:type="paragraph" w:styleId="Style21"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2">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uiPriority w:val="99"/>
    <w:qFormat/>
    <w:rsid w:val="00d36934"/>
    <w:pPr/>
    <w:rPr>
      <w:b/>
      <w:bCs/>
      <w:lang w:val="x-none" w:eastAsia="x-none"/>
    </w:rPr>
  </w:style>
  <w:style w:type="paragraph" w:styleId="ListParagraph">
    <w:name w:val="List Paragraph"/>
    <w:basedOn w:val="Normal"/>
    <w:link w:val="Style17"/>
    <w:uiPriority w:val="34"/>
    <w:qFormat/>
    <w:rsid w:val="00ec6e7d"/>
    <w:pPr>
      <w:spacing w:before="0" w:after="0"/>
      <w:ind w:left="720" w:hanging="0"/>
      <w:contextualSpacing/>
    </w:pPr>
    <w:rPr/>
  </w:style>
  <w:style w:type="paragraph" w:styleId="Style23"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4"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5"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6"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yperlink" Target="http://www.cbr.ru/" TargetMode="External"/><Relationship Id="rId9" Type="http://schemas.openxmlformats.org/officeDocument/2006/relationships/hyperlink" Target="http://www.cbr.ru/" TargetMode="Externa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Relationship Id="rId20" Type="http://schemas.openxmlformats.org/officeDocument/2006/relationships/customXml" Target="../customXml/item2.xml"/><Relationship Id="rId21" Type="http://schemas.openxmlformats.org/officeDocument/2006/relationships/customXml" Target="../customXml/item3.xml"/><Relationship Id="rId22"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B0BAB9-8B8F-4B85-B8DF-266ED50E1B2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DC28637-82A2-4882-B880-456EC7FD591C}">
  <ds:schemaRefs>
    <ds:schemaRef ds:uri="http://schemas.openxmlformats.org/officeDocument/2006/bibliography"/>
  </ds:schemaRefs>
</ds:datastoreItem>
</file>

<file path=customXml/itemProps3.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4.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461</TotalTime>
  <Application>AlterOffice/3.4.0.9$Linux_X86_64 LibreOffice_project/b8daf9e823b1a5463a2f48435ddc2e8696e7d4fc</Application>
  <AppVersion>15.0000</AppVersion>
  <Pages>26</Pages>
  <Words>9574</Words>
  <Characters>69086</Characters>
  <CharactersWithSpaces>78365</CharactersWithSpaces>
  <Paragraphs>434</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2024-04-03T13:12:00Z</dcterms:created>
  <dc:creator>tsypilev_ag</dc:creator>
  <dc:description/>
  <dc:language>ru-RU</dc:language>
  <cp:lastModifiedBy>budnikovanv@corp.gidroogk.com</cp:lastModifiedBy>
  <cp:lastPrinted>2018-05-22T09:46:00Z</cp:lastPrinted>
  <dcterms:modified xsi:type="dcterms:W3CDTF">2026-06-19T09:09:49Z</dcterms:modified>
  <cp:revision>55</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