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contextualSpacing/>
        <w:jc w:val="left"/>
        <w:rPr>
          <w:rFonts w:ascii="Arial" w:hAnsi="Arial" w:eastAsia="Times New Roman" w:cs="Arial"/>
          <w:color w:val="000000"/>
          <w:sz w:val="10"/>
          <w:szCs w:val="10"/>
        </w:rPr>
      </w:pPr>
      <w:r>
        <w:rPr>
          <w:rFonts w:eastAsia="Times New Roman" w:cs="Arial" w:ascii="Arial" w:hAnsi="Arial"/>
          <w:color w:val="000000"/>
          <w:sz w:val="10"/>
          <w:szCs w:val="10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</w:rPr>
      </w:pPr>
      <w:r>
        <w:rPr>
          <w:rFonts w:eastAsia="Times New Roman" w:cs="Arial" w:ascii="Arial" w:hAnsi="Arial"/>
          <w:bCs/>
          <w:sz w:val="30"/>
          <w:szCs w:val="3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2181860</wp:posOffset>
            </wp:positionH>
            <wp:positionV relativeFrom="paragraph">
              <wp:posOffset>29845</wp:posOffset>
            </wp:positionV>
            <wp:extent cx="1732915" cy="563245"/>
            <wp:effectExtent l="0" t="0" r="0" b="0"/>
            <wp:wrapThrough wrapText="bothSides">
              <wp:wrapPolygon edited="0">
                <wp:start x="1587" y="0"/>
                <wp:lineTo x="-78" y="3419"/>
                <wp:lineTo x="-78" y="19495"/>
                <wp:lineTo x="2295" y="20957"/>
                <wp:lineTo x="12270" y="20957"/>
                <wp:lineTo x="21292" y="20957"/>
                <wp:lineTo x="21292" y="13650"/>
                <wp:lineTo x="15594" y="11457"/>
                <wp:lineTo x="18680" y="8534"/>
                <wp:lineTo x="18445" y="0"/>
                <wp:lineTo x="1587" y="0"/>
              </wp:wrapPolygon>
            </wp:wrapThrough>
            <wp:docPr id="1" name="Рисунок 1" descr="C:\Users\portyanaya_vg\Desktop\1_Филиал Х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Х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rFonts w:ascii="Arial" w:hAnsi="Arial" w:eastAsia="Times New Roman" w:cs="Arial"/>
          <w:b/>
          <w:bCs/>
          <w:sz w:val="10"/>
          <w:szCs w:val="10"/>
        </w:rPr>
      </w:pPr>
      <w:r>
        <w:rPr>
          <w:rFonts w:eastAsia="Times New Roman" w:cs="Arial" w:ascii="Arial" w:hAnsi="Arial"/>
          <w:b/>
          <w:bCs/>
          <w:sz w:val="10"/>
          <w:szCs w:val="10"/>
        </w:rPr>
      </w:r>
    </w:p>
    <w:tbl>
      <w:tblPr>
        <w:tblStyle w:val="a5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21"/>
      </w:tblGrid>
      <w:tr>
        <w:trPr>
          <w:trHeight w:val="709" w:hRule="atLeast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ru-RU" w:bidi="ar-SA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ФИЛИАЛ «ХАБАРОВСКИЕ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5"/>
              <w:tblW w:w="101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10174"/>
            </w:tblGrid>
            <w:tr>
              <w:trPr>
                <w:trHeight w:val="227" w:hRule="atLeast"/>
              </w:trPr>
              <w:tc>
                <w:tcPr>
                  <w:tcW w:w="10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18"/>
                      <w:szCs w:val="18"/>
                      <w:lang w:val="ru-RU" w:bidi="ar-SA"/>
                    </w:rPr>
                    <w:t>ул. Промышленная,13, г. Хабаровск, 680009, Российская Федерация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0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Style w:val="Hyperlink"/>
                      <w:rFonts w:ascii="Arial" w:hAnsi="Arial" w:eastAsia="Times New Roman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Style w:val="Hyperlink"/>
                      <w:rFonts w:eastAsia="Times New Roman" w:cs="Arial" w:ascii="Arial" w:hAnsi="Arial"/>
                      <w:kern w:val="0"/>
                      <w:sz w:val="18"/>
                      <w:szCs w:val="18"/>
                      <w:lang w:val="en-US" w:bidi="ar-SA"/>
                    </w:rPr>
                    <w:t>doc@ khab.drsk.ru;  http://www.drsk.ru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spacing w:before="12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12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12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i/>
          <w:iCs/>
          <w:sz w:val="26"/>
          <w:szCs w:val="26"/>
        </w:rPr>
        <w:t>Уважаемые участники!</w:t>
      </w:r>
    </w:p>
    <w:p>
      <w:pPr>
        <w:pStyle w:val="Normal"/>
        <w:spacing w:before="120" w:after="0"/>
        <w:jc w:val="left"/>
        <w:rPr>
          <w:rFonts w:ascii="Liberation Serif" w:hAnsi="Liberation Serif"/>
          <w:b/>
          <w:bCs/>
          <w:i/>
          <w:i/>
          <w:iCs/>
          <w:sz w:val="26"/>
          <w:szCs w:val="26"/>
        </w:rPr>
      </w:pPr>
      <w:r>
        <w:rPr>
          <w:rFonts w:ascii="Liberation Serif" w:hAnsi="Liberation Serif"/>
          <w:b/>
          <w:bCs/>
          <w:i/>
          <w:iCs/>
          <w:sz w:val="26"/>
          <w:szCs w:val="26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i w:val="false"/>
          <w:i w:val="false"/>
          <w:iCs w:val="false"/>
          <w:sz w:val="26"/>
          <w:szCs w:val="26"/>
        </w:rPr>
      </w:pPr>
      <w:r>
        <w:rPr>
          <w:rFonts w:ascii="Liberation Serif" w:hAnsi="Liberation Serif"/>
          <w:i w:val="false"/>
          <w:iCs w:val="false"/>
          <w:sz w:val="26"/>
          <w:szCs w:val="26"/>
        </w:rPr>
        <w:t xml:space="preserve">Филиал АО «Дальневосточная распределительная сетевая компания» «Хабаровские электрические сети» (далее – Заказчик) сообщает о проведении анализа технико-коммерческих предложений потенциальных поставщиков в рамках </w:t>
      </w:r>
      <w:r>
        <w:rPr>
          <w:rFonts w:ascii="Liberation Serif" w:hAnsi="Liberation Serif"/>
          <w:b/>
          <w:i w:val="false"/>
          <w:iCs w:val="false"/>
          <w:sz w:val="26"/>
          <w:szCs w:val="26"/>
        </w:rPr>
        <w:t xml:space="preserve">нерегламентированной закупки  </w:t>
      </w:r>
      <w:r>
        <w:rPr>
          <w:rFonts w:ascii="Liberation Serif" w:hAnsi="Liberation Serif"/>
          <w:i w:val="false"/>
          <w:iCs w:val="false"/>
          <w:sz w:val="26"/>
          <w:szCs w:val="26"/>
        </w:rPr>
        <w:t xml:space="preserve">на право заключения договора по лоту </w:t>
      </w:r>
      <w:r>
        <w:rPr>
          <w:rFonts w:ascii="Liberation Serif" w:hAnsi="Liberation Serif"/>
          <w:b/>
          <w:bCs/>
          <w:i w:val="false"/>
          <w:iCs w:val="false"/>
          <w:sz w:val="26"/>
          <w:szCs w:val="26"/>
        </w:rPr>
        <w:t>№ 168401-ЭКСП ПРОД-2026-ДРСК-ХЭС</w:t>
      </w:r>
      <w:r>
        <w:rPr>
          <w:rFonts w:ascii="Liberation Serif" w:hAnsi="Liberation Serif"/>
          <w:i w:val="false"/>
          <w:iCs w:val="false"/>
          <w:sz w:val="26"/>
          <w:szCs w:val="26"/>
        </w:rPr>
        <w:t xml:space="preserve"> </w:t>
      </w:r>
      <w:r>
        <w:rPr>
          <w:rFonts w:ascii="Liberation Serif" w:hAnsi="Liberation Serif"/>
          <w:b/>
          <w:bCs/>
          <w:i w:val="false"/>
          <w:iCs w:val="false"/>
          <w:sz w:val="26"/>
          <w:szCs w:val="26"/>
        </w:rPr>
        <w:t>ОКПД2  20.14.74.000 Поставка антисептического раствора (с содержанием этилового спирта 95 %)</w:t>
      </w:r>
      <w:r>
        <w:rPr>
          <w:rFonts w:ascii="Liberation Serif" w:hAnsi="Liberation Serif"/>
          <w:i w:val="false"/>
          <w:iCs w:val="false"/>
          <w:sz w:val="26"/>
          <w:szCs w:val="26"/>
        </w:rPr>
        <w:t xml:space="preserve"> для нужд структурного подразделения Центральные электрические сети филиала АО "ДРСК" "Хабаровские электрические сети"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№1,2,3 к настоящему запросу; существенные условия будущего договора (в том числе, условия оплаты и гарантийных обязательств) – см. приложение №4 к настоящему запросу.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Единственным критерием выбора контрагента, с которым впоследствии будет заключён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учёта НДС).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Начальная (максимальная) цена договора: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>79 100,00 руб., без учета НДС,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>9</w:t>
      </w:r>
      <w:r>
        <w:rPr>
          <w:rFonts w:ascii="Liberation Serif" w:hAnsi="Liberation Serif"/>
          <w:b/>
          <w:i/>
          <w:sz w:val="26"/>
          <w:szCs w:val="26"/>
        </w:rPr>
        <w:t>6</w:t>
      </w:r>
      <w:r>
        <w:rPr>
          <w:rFonts w:ascii="Liberation Serif" w:hAnsi="Liberation Serif"/>
          <w:b/>
          <w:i/>
          <w:sz w:val="26"/>
          <w:szCs w:val="26"/>
        </w:rPr>
        <w:t xml:space="preserve"> </w:t>
      </w:r>
      <w:r>
        <w:rPr>
          <w:rFonts w:ascii="Liberation Serif" w:hAnsi="Liberation Serif"/>
          <w:b/>
          <w:i/>
          <w:sz w:val="26"/>
          <w:szCs w:val="26"/>
        </w:rPr>
        <w:t>502</w:t>
      </w:r>
      <w:r>
        <w:rPr>
          <w:rFonts w:ascii="Liberation Serif" w:hAnsi="Liberation Serif"/>
          <w:b/>
          <w:i/>
          <w:sz w:val="26"/>
          <w:szCs w:val="26"/>
        </w:rPr>
        <w:t>,00 руб. с учетом НДС.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Настоящий запрос не является публичной офертой и не влечёт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произведённого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гарантии наличия у Поставщика гражданской правоспособности в полном объёме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3 к настоящему запросу (анкета участника, выписка из ЕГРЮЛ/ЕГРИП, выписку из реестра МСП, сроком действия не более 1 мес. с момента подачи заявки участником);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3 к настоящему запросу);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подтверждение возможности поставки требуемого объёма продукции (см. приложение 3 к настоящему запросу);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сроки поставки тмц </w:t>
      </w:r>
      <w:r>
        <w:rPr>
          <w:rFonts w:ascii="Liberation Serif" w:hAnsi="Liberation Serif"/>
          <w:b/>
          <w:sz w:val="26"/>
          <w:szCs w:val="26"/>
        </w:rPr>
        <w:t xml:space="preserve"> до 27.07.2026 года</w:t>
      </w:r>
      <w:r>
        <w:rPr>
          <w:rFonts w:ascii="Liberation Serif" w:hAnsi="Liberation Serif"/>
          <w:sz w:val="26"/>
          <w:szCs w:val="26"/>
        </w:rPr>
        <w:t>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согласие Поставщика на существенные условия будущего договора, в том числе условия оплаты и поставки (см. приложение 4 к настоящему запросу): в размере 100 (Ста) процентов от стоимости оказанных услуг, </w:t>
      </w:r>
      <w:r>
        <w:rPr>
          <w:rFonts w:ascii="Liberation Serif" w:hAnsi="Liberation Serif"/>
          <w:b/>
          <w:bCs/>
          <w:sz w:val="26"/>
          <w:szCs w:val="26"/>
        </w:rPr>
        <w:t>в течение 20 (двадцати) календарных дней</w:t>
      </w:r>
      <w:r>
        <w:rPr>
          <w:rStyle w:val="FootnoteReference"/>
          <w:rFonts w:ascii="Liberation Serif" w:hAnsi="Liberation Serif"/>
          <w:b/>
          <w:bCs/>
          <w:sz w:val="26"/>
          <w:szCs w:val="26"/>
        </w:rPr>
        <w:footnoteReference w:id="2"/>
      </w:r>
      <w:r>
        <w:rPr>
          <w:rFonts w:ascii="Liberation Serif" w:hAnsi="Liberation Serif"/>
          <w:b/>
          <w:bCs/>
          <w:sz w:val="26"/>
          <w:szCs w:val="26"/>
        </w:rPr>
        <w:t xml:space="preserve"> /  45 (сорока пяти) календарных дней</w:t>
      </w:r>
      <w:r>
        <w:rPr>
          <w:rStyle w:val="FootnoteReference"/>
          <w:rFonts w:ascii="Liberation Serif" w:hAnsi="Liberation Serif"/>
          <w:b/>
          <w:bCs/>
          <w:sz w:val="26"/>
          <w:szCs w:val="26"/>
        </w:rPr>
        <w:footnoteReference w:id="3"/>
      </w:r>
      <w:r>
        <w:rPr>
          <w:rFonts w:ascii="Liberation Serif" w:hAnsi="Liberation Serif"/>
          <w:b/>
          <w:bCs/>
          <w:sz w:val="26"/>
          <w:szCs w:val="26"/>
        </w:rPr>
        <w:t xml:space="preserve"> / 7 (семи) рабочих дней</w:t>
      </w:r>
      <w:r>
        <w:rPr>
          <w:rStyle w:val="FootnoteReference"/>
          <w:rFonts w:ascii="Liberation Serif" w:hAnsi="Liberation Serif"/>
          <w:b/>
          <w:bCs/>
          <w:sz w:val="26"/>
          <w:szCs w:val="26"/>
        </w:rPr>
        <w:footnoteReference w:id="4"/>
      </w:r>
      <w:r>
        <w:rPr>
          <w:rFonts w:ascii="Liberation Serif" w:hAnsi="Liberation Serif"/>
          <w:b/>
          <w:bCs/>
          <w:sz w:val="26"/>
          <w:szCs w:val="26"/>
        </w:rPr>
        <w:t xml:space="preserve"> с даты подписания Сторонами Накладной ТОРГ-12, Акта об исполнении обязательств Лицензиатом по предоставлению прав использования ПО на основании счета, выставленного Поставщиком;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цену предложения в рублях (без НДС и с учётом НДС).</w:t>
      </w:r>
    </w:p>
    <w:p>
      <w:pPr>
        <w:pStyle w:val="Normal"/>
        <w:widowControl/>
        <w:bidi w:val="0"/>
        <w:ind w:left="0" w:right="0" w:firstLine="850"/>
        <w:jc w:val="both"/>
        <w:rPr>
          <w:rFonts w:ascii="Liberation Serif" w:hAnsi="Liberation Serif" w:eastAsia="Times New Roman"/>
        </w:rPr>
      </w:pPr>
      <w:r>
        <w:rPr>
          <w:rFonts w:eastAsia="Times New Roman" w:ascii="Liberation Serif" w:hAnsi="Liberation Serif"/>
          <w:shd w:fill="auto" w:val="clear"/>
        </w:rPr>
        <w:t>7. Срок подачи предложения: до</w:t>
      </w:r>
      <w:r>
        <w:rPr>
          <w:rFonts w:eastAsia="Times New Roman" w:ascii="Liberation Serif" w:hAnsi="Liberation Serif"/>
          <w:b/>
          <w:bCs/>
          <w:i/>
          <w:iCs/>
          <w:shd w:fill="auto" w:val="clear"/>
        </w:rPr>
        <w:t xml:space="preserve"> 26.06.2026</w:t>
      </w:r>
      <w:r>
        <w:rPr>
          <w:rFonts w:eastAsia="Times New Roman" w:ascii="Liberation Serif" w:hAnsi="Liberation Serif"/>
          <w:shd w:fill="auto" w:val="clear"/>
        </w:rPr>
        <w:t xml:space="preserve"> года:</w:t>
      </w:r>
    </w:p>
    <w:p>
      <w:pPr>
        <w:pStyle w:val="Normal"/>
        <w:widowControl/>
        <w:bidi w:val="0"/>
        <w:ind w:left="0" w:right="0" w:firstLine="850"/>
        <w:jc w:val="both"/>
        <w:rPr>
          <w:rFonts w:ascii="Liberation Serif" w:hAnsi="Liberation Serif" w:eastAsia="Times New Roman"/>
          <w:shd w:fill="auto" w:val="clear"/>
        </w:rPr>
      </w:pPr>
      <w:r>
        <w:rPr>
          <w:rFonts w:eastAsia="Times New Roman" w:ascii="Liberation Serif" w:hAnsi="Liberation Serif"/>
          <w:shd w:fill="auto" w:val="clear"/>
        </w:rPr>
        <w:t>8. место подачи предложения: ЭТП РАД.</w:t>
      </w:r>
    </w:p>
    <w:p>
      <w:pPr>
        <w:pStyle w:val="Normal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120"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i/>
          <w:sz w:val="26"/>
          <w:szCs w:val="26"/>
        </w:rPr>
        <w:t>Приложения: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i/>
          <w:sz w:val="26"/>
          <w:szCs w:val="26"/>
        </w:rPr>
        <w:t>Технические требования;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i/>
          <w:sz w:val="26"/>
          <w:szCs w:val="26"/>
        </w:rPr>
        <w:t>Проект Договора;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i/>
          <w:sz w:val="26"/>
          <w:szCs w:val="26"/>
        </w:rPr>
        <w:t>Анкета участника(Форма);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i/>
          <w:sz w:val="26"/>
          <w:szCs w:val="26"/>
        </w:rPr>
        <w:t>Оферта ответа на запрос ТКП(Форма).</w:t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134" w:right="567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</w:t>
      </w:r>
      <w:r>
        <w:rPr/>
        <w:t>Для договоров, заключенных в рамках операционной (текущей) деятельности Общества</w:t>
      </w:r>
    </w:p>
  </w:footnote>
  <w:footnote w:id="3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</w:t>
      </w:r>
      <w:r>
        <w:rPr/>
        <w:t>Для договоров, заключенных в рамках реализации инвестиционной программы Общества</w:t>
      </w:r>
    </w:p>
  </w:footnote>
  <w:footnote w:id="4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</w:t>
      </w:r>
      <w:r>
        <w:rPr/>
        <w:t>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0"/>
        </w:tabs>
        <w:ind w:left="33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0"/>
        </w:tabs>
        <w:ind w:left="445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57a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c57a1"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33445a"/>
    <w:rPr>
      <w:color w:val="0000FF" w:themeColor="hyperlink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c22786"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c22786"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2">
    <w:name w:val="Символ нумерации"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c57a1"/>
    <w:pPr/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c2278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c2278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8816886161">
    <w:name w:val="8816886161"/>
    <w:qFormat/>
  </w:style>
  <w:style w:type="numbering" w:styleId="10610255151">
    <w:name w:val="10610255151"/>
    <w:qFormat/>
  </w:style>
  <w:style w:type="numbering" w:styleId="26906001401">
    <w:name w:val="26906001401"/>
    <w:qFormat/>
  </w:style>
  <w:style w:type="numbering" w:styleId="12165413141">
    <w:name w:val="12165413141"/>
    <w:qFormat/>
  </w:style>
  <w:style w:type="numbering" w:styleId="1647765831">
    <w:name w:val="1647765831"/>
    <w:qFormat/>
  </w:style>
  <w:style w:type="numbering" w:styleId="18496483821">
    <w:name w:val="18496483821"/>
    <w:qFormat/>
  </w:style>
  <w:style w:type="numbering" w:styleId="33556503251">
    <w:name w:val="33556503251"/>
    <w:qFormat/>
  </w:style>
  <w:style w:type="numbering" w:styleId="34845925611">
    <w:name w:val="34845925611"/>
    <w:qFormat/>
  </w:style>
  <w:style w:type="numbering" w:styleId="19891917711">
    <w:name w:val="19891917711"/>
    <w:qFormat/>
  </w:style>
  <w:style w:type="numbering" w:styleId="6979376941">
    <w:name w:val="6979376941"/>
    <w:qFormat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c57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AlterOffice/3.4.0.6$Linux_X86_64 LibreOffice_project/ad8c41dce69105450bf791d4900d64b1f82e10d0</Application>
  <AppVersion>15.0000</AppVersion>
  <Pages>2</Pages>
  <Words>617</Words>
  <Characters>4298</Characters>
  <CharactersWithSpaces>4865</CharactersWithSpaces>
  <Paragraphs>36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2019-12-18T04:06:00Z</dcterms:created>
  <dc:creator>Фоменко Светлана Анатольевна</dc:creator>
  <dc:description/>
  <dc:language>ru-RU</dc:language>
  <cp:lastModifiedBy>tyapkin_sg</cp:lastModifiedBy>
  <cp:lastPrinted>2019-10-16T05:58:00Z</cp:lastPrinted>
  <dcterms:modified xsi:type="dcterms:W3CDTF">2026-06-19T15:32:37Z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