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 xml:space="preserve">Поставка </w:t>
      </w:r>
      <w:r>
        <w:rPr>
          <w:rFonts w:eastAsia="Calibri" w:ascii="Times New Roman;serif" w:hAnsi="Times New Roman;serif"/>
          <w:b/>
          <w:bCs/>
          <w:i w:val="false"/>
          <w:strike w:val="false"/>
          <w:dstrike w:val="false"/>
          <w:outline w:val="false"/>
          <w:shadow w:val="false"/>
          <w:color w:val="000000"/>
          <w:sz w:val="24"/>
          <w:szCs w:val="24"/>
          <w:u w:val="none"/>
          <w:shd w:fill="auto" w:val="clear"/>
          <w:em w:val="none"/>
        </w:rPr>
        <w:t>химических реактивов, лабораторной посуды и приборов общелабораторного назначения</w:t>
      </w:r>
      <w:r>
        <w:rPr>
          <w:b/>
          <w:bCs/>
          <w:sz w:val="24"/>
          <w:szCs w:val="24"/>
        </w:rPr>
        <w:t xml:space="preserve"> для филиала ПАО "РусГидро"-"Зейская ГЭС"</w:t>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shd w:fill="auto" w:val="clear"/>
          <w:lang w:eastAsia="en-US"/>
        </w:rPr>
        <w:t xml:space="preserve">по результатам проведенной Покупателем закупочной процедуры по лоту № ____________ и на основании протокола __________ от «___» _________ г. №_______, </w:t>
      </w:r>
      <w:r>
        <w:rPr>
          <w:sz w:val="24"/>
          <w:szCs w:val="24"/>
          <w:shd w:fill="auto" w:val="clear"/>
        </w:rPr>
        <w:t>заключ</w:t>
      </w:r>
      <w:r>
        <w:rPr>
          <w:sz w:val="24"/>
          <w:szCs w:val="24"/>
        </w:rPr>
        <w:t>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rFonts w:eastAsia="Calibri"/>
          <w:b/>
          <w:bCs/>
          <w:i w:val="false"/>
          <w:iCs w:val="false"/>
          <w:strike w:val="false"/>
          <w:dstrike w:val="false"/>
          <w:outline w:val="false"/>
          <w:shadow w:val="false"/>
          <w:sz w:val="24"/>
          <w:szCs w:val="24"/>
          <w:u w:val="none"/>
          <w:shd w:fill="auto" w:val="clear"/>
          <w:em w:val="none"/>
          <w:lang w:eastAsia="en-US"/>
        </w:rPr>
        <w:t>химические реактивы, лабораторную посуду и приборы общелабораторного назначения</w:t>
      </w:r>
      <w:r>
        <w:rPr>
          <w:bCs/>
          <w:sz w:val="24"/>
          <w:szCs w:val="24"/>
          <w:shd w:fill="auto" w:val="clear"/>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bCs/>
          <w:sz w:val="24"/>
          <w:szCs w:val="24"/>
          <w:shd w:fill="auto" w:val="clear"/>
        </w:rPr>
        <w:t>676244, Амурская область, г. Зея, склад филиала ПАО «РусГидро»-«Зейская ГЭС»</w:t>
      </w:r>
      <w:r>
        <w:rPr>
          <w:sz w:val="24"/>
          <w:szCs w:val="24"/>
          <w:shd w:fill="auto" w:val="clear"/>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highlight w:val="none"/>
          <w:shd w:fill="auto" w:val="clear"/>
        </w:rPr>
      </w:pPr>
      <w:r>
        <w:rPr>
          <w:bCs/>
          <w:sz w:val="24"/>
          <w:szCs w:val="24"/>
          <w:shd w:fill="auto" w:val="clear"/>
        </w:rPr>
        <w:t>Срок поставки Товара: «07» сентября 2027 г.</w:t>
      </w:r>
    </w:p>
    <w:p>
      <w:pPr>
        <w:pStyle w:val="Normal"/>
        <w:shd w:val="clear" w:color="auto" w:fill="FFFFFF"/>
        <w:tabs>
          <w:tab w:val="clear" w:pos="709"/>
          <w:tab w:val="left" w:pos="540" w:leader="none"/>
        </w:tabs>
        <w:ind w:left="1134" w:hanging="0"/>
        <w:jc w:val="both"/>
        <w:rPr>
          <w:sz w:val="24"/>
          <w:szCs w:val="24"/>
          <w:highlight w:val="none"/>
          <w:shd w:fill="auto" w:val="clear"/>
        </w:rPr>
      </w:pPr>
      <w:r>
        <w:rPr>
          <w:sz w:val="24"/>
          <w:szCs w:val="24"/>
          <w:shd w:fill="auto" w:val="clear"/>
        </w:rPr>
      </w:r>
    </w:p>
    <w:p>
      <w:pPr>
        <w:pStyle w:val="Normal"/>
        <w:numPr>
          <w:ilvl w:val="0"/>
          <w:numId w:val="2"/>
        </w:numPr>
        <w:shd w:val="clear" w:color="auto" w:fill="FFFFFF"/>
        <w:tabs>
          <w:tab w:val="clear" w:pos="709"/>
          <w:tab w:val="left" w:pos="284" w:leader="none"/>
        </w:tabs>
        <w:ind w:left="0" w:hanging="0"/>
        <w:jc w:val="center"/>
        <w:rPr>
          <w:highlight w:val="none"/>
          <w:shd w:fill="auto" w:val="clear"/>
        </w:rPr>
      </w:pPr>
      <w:r>
        <w:rPr>
          <w:b/>
          <w:bCs/>
          <w:sz w:val="24"/>
          <w:szCs w:val="24"/>
          <w:shd w:fill="auto" w:val="clear"/>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shd w:fill="auto" w:val="clear"/>
        </w:rPr>
        <w:t xml:space="preserve">Цена Договора в соответствии со Спецификацией (Приложение № 1 к Договору) </w:t>
      </w:r>
      <w:r>
        <w:rPr>
          <w:bCs/>
          <w:sz w:val="24"/>
          <w:szCs w:val="24"/>
          <w:shd w:fill="auto" w:val="clear"/>
        </w:rPr>
        <w:t xml:space="preserve">является  твердой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w:t>
      </w:r>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pPr>
        <w:pStyle w:val="ListParagraph"/>
        <w:numPr>
          <w:ilvl w:val="2"/>
          <w:numId w:val="2"/>
        </w:numPr>
        <w:tabs>
          <w:tab w:val="clear" w:pos="709"/>
        </w:tabs>
        <w:ind w:left="0" w:firstLine="709"/>
        <w:jc w:val="both"/>
        <w:rPr>
          <w:sz w:val="24"/>
        </w:rPr>
      </w:pPr>
      <w:r>
        <w:rPr>
          <w:sz w:val="24"/>
        </w:rPr>
        <w:t>Окончательный платеж в размере 70 (семидесяти) процентов от стоимости Товара</w:t>
      </w:r>
      <w:r>
        <w:rPr>
          <w:rStyle w:val="FootnoteReference"/>
          <w:sz w:val="24"/>
        </w:rPr>
        <w:footnoteReference w:id="2"/>
      </w:r>
      <w:r>
        <w:rPr>
          <w:sz w:val="24"/>
        </w:rPr>
        <w:t xml:space="preserve"> выплачивается Поставщику в течение </w:t>
      </w:r>
      <w:r>
        <w:rPr>
          <w:sz w:val="24"/>
          <w:shd w:fill="auto" w:val="clear"/>
        </w:rPr>
        <w:t>20 (двадцати) календарных дней</w:t>
      </w:r>
      <w:r>
        <w:rPr>
          <w:rStyle w:val="FootnoteReference"/>
          <w:sz w:val="24"/>
          <w:shd w:fill="auto" w:val="clear"/>
        </w:rPr>
        <w:footnoteReference w:id="3"/>
      </w:r>
      <w:r>
        <w:rPr>
          <w:sz w:val="24"/>
          <w:shd w:fill="auto" w:val="clear"/>
        </w:rPr>
        <w:t xml:space="preserve"> / 45 (сорока пяти) календарных дней</w:t>
      </w:r>
      <w:r>
        <w:rPr>
          <w:rStyle w:val="FootnoteReference"/>
          <w:sz w:val="24"/>
          <w:shd w:fill="auto" w:val="clear"/>
        </w:rPr>
        <w:footnoteReference w:id="4"/>
      </w:r>
      <w:r>
        <w:rPr>
          <w:sz w:val="24"/>
          <w:shd w:fill="auto" w:val="clear"/>
        </w:rPr>
        <w:t xml:space="preserve"> / 7 (семи) рабочих дней</w:t>
      </w:r>
      <w:r>
        <w:rPr>
          <w:rStyle w:val="FootnoteReference"/>
          <w:sz w:val="24"/>
          <w:shd w:fill="auto" w:val="clear"/>
        </w:rPr>
        <w:footnoteReference w:id="5"/>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shd w:fill="auto" w:val="clear"/>
        </w:rPr>
        <w:t>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sz w:val="24"/>
          <w:szCs w:val="24"/>
        </w:rPr>
      </w:pPr>
      <w:r>
        <w:rPr>
          <w:sz w:val="24"/>
          <w:szCs w:val="24"/>
          <w:shd w:fill="auto" w:val="clear"/>
        </w:rPr>
        <w:t>упаковочный лист в __(____) э</w:t>
      </w:r>
      <w:r>
        <w:rPr>
          <w:sz w:val="24"/>
          <w:szCs w:val="24"/>
        </w:rPr>
        <w:t>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ТОРГ-12/УПД в </w:t>
      </w:r>
      <w:r>
        <w:rPr>
          <w:sz w:val="24"/>
          <w:szCs w:val="24"/>
          <w:shd w:fill="auto" w:val="clear"/>
        </w:rPr>
        <w:t>__(____) э</w:t>
      </w:r>
      <w:r>
        <w:rPr>
          <w:sz w:val="24"/>
          <w:szCs w:val="24"/>
        </w:rPr>
        <w:t>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w:t>
      </w:r>
      <w:r>
        <w:rPr>
          <w:sz w:val="24"/>
          <w:szCs w:val="24"/>
          <w:shd w:fill="auto" w:val="clear"/>
        </w:rPr>
        <w:t xml:space="preserve"> (пятнадцати)</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sz w:val="24"/>
          <w:szCs w:val="24"/>
          <w:shd w:fill="auto" w:val="clear"/>
        </w:rPr>
        <w:t>15 (пятнадцати)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shd w:fill="auto" w:val="clear"/>
        </w:rPr>
        <w:t>____ (______) месяцев и начинает течь с даты подписания Сторонами Накладной ТОРГ-12/У</w:t>
      </w:r>
      <w:r>
        <w:rPr>
          <w:sz w:val="24"/>
          <w:szCs w:val="24"/>
        </w:rPr>
        <w:t>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6"/>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7"/>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sz w:val="24"/>
          <w:szCs w:val="24"/>
          <w:shd w:fill="auto" w:val="clear"/>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shd w:fill="auto" w:val="clear"/>
        </w:rPr>
        <w:footnoteReference w:id="8"/>
      </w:r>
      <w:r>
        <w:rPr>
          <w:sz w:val="24"/>
          <w:szCs w:val="24"/>
          <w:shd w:fill="auto" w:val="clear"/>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9"/>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Амурской области </w:t>
      </w:r>
      <w:r>
        <w:rPr>
          <w:bCs/>
          <w:sz w:val="24"/>
          <w:szCs w:val="24"/>
        </w:rPr>
        <w:t xml:space="preserve">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shd w:fill="auto" w:val="clear"/>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shd w:fill="auto" w:val="clear"/>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shd w:fill="auto" w:val="clear"/>
        </w:rPr>
        <w:t xml:space="preserve">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10"/>
      </w:r>
      <w:r>
        <w:rPr>
          <w:sz w:val="24"/>
          <w:szCs w:val="24"/>
          <w:shd w:fill="auto" w:val="clear"/>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shd w:fill="auto" w:val="clear"/>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shd w:fill="auto" w:val="clear"/>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shd w:fill="auto" w:val="clear"/>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shd w:fill="auto" w:val="clear"/>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1"/>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2"/>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b/>
                <w:sz w:val="24"/>
                <w:szCs w:val="24"/>
                <w:shd w:fill="auto" w:val="clear"/>
              </w:rPr>
              <w:t>Публичное акционерное общество</w:t>
            </w:r>
          </w:p>
          <w:p>
            <w:pPr>
              <w:pStyle w:val="Normal"/>
              <w:widowControl w:val="false"/>
              <w:rPr>
                <w:highlight w:val="none"/>
                <w:shd w:fill="auto" w:val="clear"/>
              </w:rPr>
            </w:pPr>
            <w:r>
              <w:rPr>
                <w:b/>
                <w:sz w:val="24"/>
                <w:szCs w:val="24"/>
                <w:shd w:fill="auto" w:val="clear"/>
              </w:rPr>
              <w:t>«Федеральная гидрогенерирующая компания - РусГидро» (ПАО «РусГидро»)</w:t>
            </w:r>
          </w:p>
          <w:p>
            <w:pPr>
              <w:pStyle w:val="Normal"/>
              <w:widowControl w:val="false"/>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Юридический/Почтовый адрес: 660017, Красноярский край, г.о. город Красноярск,</w:t>
            </w:r>
          </w:p>
          <w:p>
            <w:pPr>
              <w:pStyle w:val="Normal"/>
              <w:widowControl w:val="false"/>
              <w:spacing w:lineRule="auto" w:line="240"/>
              <w:ind w:hanging="0"/>
              <w:jc w:val="left"/>
              <w:rPr>
                <w:highlight w:val="none"/>
                <w:shd w:fill="auto" w:val="clear"/>
              </w:rPr>
            </w:pPr>
            <w:r>
              <w:rPr>
                <w:sz w:val="24"/>
                <w:szCs w:val="24"/>
                <w:shd w:fill="auto" w:val="clear"/>
              </w:rPr>
              <w:t xml:space="preserve">г. Красноярск, ул. Перенсона, зд.2, помещ.1 </w:t>
            </w:r>
          </w:p>
          <w:p>
            <w:pPr>
              <w:pStyle w:val="Normal"/>
              <w:widowControl w:val="false"/>
              <w:rPr>
                <w:highlight w:val="none"/>
                <w:shd w:fill="auto" w:val="clear"/>
              </w:rPr>
            </w:pPr>
            <w:r>
              <w:rPr>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 xml:space="preserve">ОГРН 1042401810494, </w:t>
            </w:r>
          </w:p>
          <w:p>
            <w:pPr>
              <w:pStyle w:val="Normal"/>
              <w:widowControl w:val="false"/>
              <w:rPr>
                <w:highlight w:val="none"/>
                <w:shd w:fill="auto" w:val="clear"/>
              </w:rPr>
            </w:pPr>
            <w:r>
              <w:rPr>
                <w:sz w:val="24"/>
                <w:szCs w:val="24"/>
                <w:shd w:fill="auto" w:val="clear"/>
              </w:rPr>
              <w:t>ИНН 2460066195 / КПП 997650001</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p>
            <w:pPr>
              <w:pStyle w:val="Normal"/>
              <w:widowControl w:val="false"/>
              <w:rPr>
                <w:sz w:val="24"/>
                <w:szCs w:val="24"/>
                <w:highlight w:val="none"/>
                <w:shd w:fill="auto" w:val="clear"/>
              </w:rPr>
            </w:pPr>
            <w:r>
              <w:rPr>
                <w:sz w:val="24"/>
                <w:szCs w:val="24"/>
                <w:shd w:fill="auto" w:val="clear"/>
              </w:rPr>
            </w:r>
          </w:p>
        </w:tc>
        <w:tc>
          <w:tcPr>
            <w:tcW w:w="4962" w:type="dxa"/>
            <w:gridSpan w:val="2"/>
            <w:tcBorders/>
            <w:shd w:color="auto" w:fill="BFBFBF" w:val="clear"/>
          </w:tcPr>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юридического лица)</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Юридический адрес:</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Почтовый адрес:</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ОГРН ___________________________</w:t>
            </w:r>
          </w:p>
          <w:p>
            <w:pPr>
              <w:pStyle w:val="Normal"/>
              <w:widowControl w:val="false"/>
              <w:rPr>
                <w:highlight w:val="none"/>
                <w:shd w:fill="auto" w:val="clear"/>
              </w:rPr>
            </w:pPr>
            <w:r>
              <w:rPr>
                <w:sz w:val="24"/>
                <w:szCs w:val="24"/>
                <w:shd w:fill="auto" w:val="clear"/>
              </w:rPr>
              <w:t>ИНН ____________ / КПП___________</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p>
            <w:pPr>
              <w:pStyle w:val="Normal"/>
              <w:widowControl w:val="false"/>
              <w:rPr>
                <w:sz w:val="24"/>
                <w:szCs w:val="24"/>
                <w:highlight w:val="none"/>
                <w:shd w:fill="auto" w:val="clear"/>
              </w:rPr>
            </w:pPr>
            <w:r>
              <w:rPr>
                <w:sz w:val="24"/>
                <w:szCs w:val="24"/>
                <w:shd w:fill="auto" w:val="clear"/>
              </w:rPr>
            </w:r>
          </w:p>
        </w:tc>
      </w:tr>
      <w:tr>
        <w:trPr/>
        <w:tc>
          <w:tcPr>
            <w:tcW w:w="4777" w:type="dxa"/>
            <w:tcBorders/>
          </w:tcPr>
          <w:p>
            <w:pPr>
              <w:pStyle w:val="Normal"/>
              <w:widowControl w:val="false"/>
              <w:rPr>
                <w:highlight w:val="none"/>
                <w:shd w:fill="auto" w:val="clear"/>
              </w:rPr>
            </w:pPr>
            <w:r>
              <w:rPr>
                <w:sz w:val="24"/>
                <w:szCs w:val="24"/>
                <w:shd w:fill="auto" w:val="clear"/>
              </w:rPr>
              <w:t xml:space="preserve">_______________ / _______________ </w:t>
            </w:r>
          </w:p>
          <w:p>
            <w:pPr>
              <w:pStyle w:val="Normal"/>
              <w:widowControl w:val="false"/>
              <w:rPr>
                <w:sz w:val="24"/>
                <w:szCs w:val="24"/>
                <w:highlight w:val="none"/>
                <w:shd w:fill="auto" w:val="clear"/>
              </w:rPr>
            </w:pPr>
            <w:r>
              <w:rPr>
                <w:sz w:val="24"/>
                <w:szCs w:val="24"/>
                <w:shd w:fill="auto" w:val="clear"/>
              </w:rPr>
            </w:r>
          </w:p>
        </w:tc>
        <w:tc>
          <w:tcPr>
            <w:tcW w:w="4786" w:type="dxa"/>
            <w:gridSpan w:val="2"/>
            <w:tcBorders/>
          </w:tcPr>
          <w:p>
            <w:pPr>
              <w:pStyle w:val="Normal"/>
              <w:widowControl w:val="false"/>
              <w:rPr>
                <w:highlight w:val="none"/>
                <w:shd w:fill="auto" w:val="clear"/>
              </w:rPr>
            </w:pPr>
            <w:r>
              <w:rPr>
                <w:sz w:val="24"/>
                <w:szCs w:val="24"/>
                <w:shd w:fill="auto" w:val="clear"/>
              </w:rPr>
              <w:t xml:space="preserve">_______________ / _______________ </w:t>
            </w:r>
          </w:p>
        </w:tc>
        <w:tc>
          <w:tcPr>
            <w:tcW w:w="327" w:type="dxa"/>
            <w:tcBorders/>
          </w:tcPr>
          <w:p>
            <w:pPr>
              <w:pStyle w:val="Normal"/>
              <w:widowControl w:val="false"/>
              <w:rPr>
                <w:highlight w:val="none"/>
                <w:shd w:fill="auto" w:val="clear"/>
              </w:rPr>
            </w:pPr>
            <w:r>
              <w:rPr>
                <w:shd w:fill="auto" w:val="clea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6"/>
        <w:gridCol w:w="638"/>
        <w:gridCol w:w="799"/>
        <w:gridCol w:w="766"/>
        <w:gridCol w:w="644"/>
        <w:gridCol w:w="762"/>
        <w:gridCol w:w="720"/>
        <w:gridCol w:w="377"/>
        <w:gridCol w:w="156"/>
        <w:gridCol w:w="666"/>
        <w:gridCol w:w="582"/>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3"/>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highlight w:val="none"/>
                <w:shd w:fill="auto" w:val="clear"/>
              </w:rPr>
            </w:pPr>
            <w:r>
              <w:rPr>
                <w:bCs/>
                <w:shd w:fill="auto" w:val="clear"/>
              </w:rPr>
              <w:t>Порядковый номер(а) реестровой(ых) записи(ей)</w:t>
            </w:r>
            <w:r>
              <w:rPr>
                <w:rStyle w:val="FootnoteReference"/>
                <w:bCs/>
                <w:shd w:fill="auto" w:val="clear"/>
              </w:rPr>
              <w:footnoteReference w:id="14"/>
            </w:r>
          </w:p>
          <w:p>
            <w:pPr>
              <w:pStyle w:val="Normal"/>
              <w:widowControl w:val="false"/>
              <w:jc w:val="center"/>
              <w:rPr>
                <w:bCs/>
                <w:highlight w:val="none"/>
                <w:shd w:fill="auto" w:val="clear"/>
              </w:rPr>
            </w:pPr>
            <w:r>
              <w:rPr>
                <w:bCs/>
                <w:shd w:fill="auto" w:val="clea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shd w:fill="auto" w:val="clear"/>
              </w:rPr>
              <w:t>Итого стоимость всего Товара (с учетом доставки), руб. с НДС*:</w:t>
            </w:r>
          </w:p>
        </w:tc>
        <w:tc>
          <w:tcPr>
            <w:tcW w:w="326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highlight w:val="none"/>
          <w:shd w:fill="auto" w:val="clear"/>
        </w:rPr>
      </w:pPr>
      <w:r>
        <w:rPr>
          <w:i/>
          <w:sz w:val="22"/>
          <w:szCs w:val="22"/>
          <w:shd w:fill="auto"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highlight w:val="none"/>
          <w:shd w:fill="auto" w:val="clear"/>
        </w:rPr>
      </w:pPr>
      <w:r>
        <w:rPr>
          <w:i/>
          <w:sz w:val="22"/>
          <w:szCs w:val="22"/>
          <w:shd w:fill="auto" w:val="clear"/>
        </w:rPr>
        <w:t xml:space="preserve">2. По требованию Покупателя Поставщик обязан представить запрашиваемую информацию / документы, расчеты, обосновывающие стоимость доставки. </w:t>
      </w:r>
    </w:p>
    <w:p>
      <w:pPr>
        <w:pStyle w:val="Normal"/>
        <w:rPr>
          <w:i/>
          <w:i/>
          <w:sz w:val="22"/>
          <w:szCs w:val="22"/>
          <w:highlight w:val="none"/>
          <w:shd w:fill="auto" w:val="clear"/>
        </w:rPr>
      </w:pPr>
      <w:r>
        <w:rPr>
          <w:i/>
          <w:sz w:val="22"/>
          <w:szCs w:val="22"/>
          <w:shd w:fill="auto" w:val="clear"/>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5"/>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6"/>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8">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7"/>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8"/>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9"/>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20"/>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9">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21"/>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10"/>
      <w:headerReference w:type="first" r:id="rId11"/>
      <w:footerReference w:type="default" r:id="rId12"/>
      <w:footerReference w:type="first" r:id="rId13"/>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Указывается меньший размер платежей в случае применения ссылки к пункту 2.5.2 Договора о закупке кранового оборудования.</w:t>
      </w:r>
    </w:p>
  </w:footnote>
  <w:footnote w:id="3">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Заказчика.</w:t>
      </w:r>
    </w:p>
  </w:footnote>
  <w:footnote w:id="4">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Заказчика.</w:t>
      </w:r>
    </w:p>
  </w:footnote>
  <w:footnote w:id="5">
    <w:p>
      <w:pPr>
        <w:pStyle w:val="FootnoteText"/>
        <w:jc w:val="both"/>
        <w:rPr/>
      </w:pPr>
      <w:r>
        <w:rPr>
          <w:rStyle w:val="Style14"/>
        </w:rPr>
        <w:footnoteRef/>
      </w:r>
      <w:r>
        <w:rPr/>
        <w:t xml:space="preserve"> </w:t>
      </w:r>
      <w:r>
        <w:rPr/>
        <w:t>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7">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8">
    <w:p>
      <w:pPr>
        <w:pStyle w:val="FootnoteText"/>
        <w:jc w:val="both"/>
        <w:rPr/>
      </w:pPr>
      <w:r>
        <w:rPr>
          <w:rStyle w:val="Style14"/>
        </w:rPr>
        <w:footnoteRef/>
      </w:r>
      <w:r>
        <w:rPr/>
        <w:t xml:space="preserve"> </w:t>
      </w:r>
      <w:r>
        <w:rPr>
          <w:shd w:fill="auto" w:val="clea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9">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10">
    <w:p>
      <w:pPr>
        <w:pStyle w:val="FootnoteText"/>
        <w:jc w:val="both"/>
        <w:rPr/>
      </w:pPr>
      <w:r>
        <w:rPr>
          <w:rStyle w:val="Style14"/>
        </w:rPr>
        <w:footnoteRef/>
      </w:r>
      <w:r>
        <w:rPr/>
        <w:t xml:space="preserve"> </w:t>
      </w:r>
      <w:r>
        <w:rPr>
          <w:shd w:fill="auto" w:val="clear"/>
        </w:rPr>
        <w:t>Применяется в случае наличия между Сторонами заключенного соглашения о переходе на электронный</w:t>
      </w:r>
      <w:r>
        <w:rPr>
          <w:highlight w:val="lightGray"/>
        </w:rPr>
        <w:t xml:space="preserve"> </w:t>
      </w:r>
      <w:r>
        <w:rPr>
          <w:shd w:fill="auto" w:val="clear"/>
        </w:rPr>
        <w:t>юридически значимый документооборот (Соглашения об ЭДО).</w:t>
      </w:r>
    </w:p>
  </w:footnote>
  <w:footnote w:id="11">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2">
    <w:p>
      <w:pPr>
        <w:pStyle w:val="FootnoteText"/>
        <w:jc w:val="both"/>
        <w:rPr/>
      </w:pPr>
      <w:r>
        <w:rPr>
          <w:rStyle w:val="Style14"/>
        </w:rPr>
        <w:footnoteRef/>
      </w:r>
      <w:r>
        <w:rPr/>
        <w:t xml:space="preserve"> </w:t>
      </w:r>
      <w:r>
        <w:rPr>
          <w:shd w:fill="auto" w:val="clear"/>
        </w:rPr>
        <w:t>Применяется в случае подписания собственноручно без использования усиленных квалифицированных электронных подписей (УКЭП).</w:t>
      </w:r>
    </w:p>
  </w:footnote>
  <w:footnote w:id="13">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4">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5">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6">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7">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8">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9">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20">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21">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yperlink" Target="http://www.cbr.ru/"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462</TotalTime>
  <Application>AlterOffice/3.4.0.9$Linux_X86_64 LibreOffice_project/b8daf9e823b1a5463a2f48435ddc2e8696e7d4fc</Application>
  <AppVersion>15.0000</AppVersion>
  <Pages>26</Pages>
  <Words>9586</Words>
  <Characters>69181</Characters>
  <CharactersWithSpaces>78472</CharactersWithSpaces>
  <Paragraphs>434</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budnikovanv@corp.gidroogk.com</cp:lastModifiedBy>
  <cp:lastPrinted>2018-05-22T09:46:00Z</cp:lastPrinted>
  <dcterms:modified xsi:type="dcterms:W3CDTF">2026-06-19T09:09:25Z</dcterms:modified>
  <cp:revision>55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