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</w:t>
      </w:r>
    </w:p>
    <w:p>
      <w:pPr>
        <w:pStyle w:val="Normal"/>
        <w:keepNext w:val="true"/>
        <w:keepLines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>по ОКПД2</w:t>
      </w:r>
      <w:r>
        <w:rPr>
          <w:b/>
          <w:bCs/>
          <w:sz w:val="22"/>
          <w:szCs w:val="22"/>
        </w:rPr>
        <w:t xml:space="preserve"> </w:t>
      </w:r>
      <w:r>
        <w:rPr>
          <w:rStyle w:val="Strong"/>
          <w:b w:val="false"/>
          <w:bCs w:val="false"/>
          <w:color w:val="000000"/>
          <w:sz w:val="22"/>
          <w:szCs w:val="22"/>
        </w:rPr>
        <w:t>27.</w:t>
      </w:r>
      <w:r>
        <w:rPr>
          <w:rStyle w:val="Strong"/>
          <w:b w:val="false"/>
          <w:bCs w:val="false"/>
          <w:color w:val="000000"/>
          <w:sz w:val="22"/>
          <w:szCs w:val="22"/>
        </w:rPr>
        <w:t>12</w:t>
      </w:r>
      <w:r>
        <w:rPr>
          <w:rStyle w:val="Strong"/>
          <w:b w:val="false"/>
          <w:bCs w:val="false"/>
          <w:color w:val="000000"/>
          <w:sz w:val="22"/>
          <w:szCs w:val="22"/>
        </w:rPr>
        <w:t>.1</w:t>
      </w:r>
      <w:r>
        <w:rPr>
          <w:rStyle w:val="Strong"/>
          <w:b w:val="false"/>
          <w:bCs w:val="false"/>
          <w:color w:val="000000"/>
          <w:sz w:val="22"/>
          <w:szCs w:val="22"/>
        </w:rPr>
        <w:t>0</w:t>
      </w:r>
      <w:r>
        <w:rPr>
          <w:rStyle w:val="Strong"/>
          <w:b w:val="false"/>
          <w:bCs w:val="false"/>
          <w:color w:val="000000"/>
          <w:sz w:val="22"/>
          <w:szCs w:val="22"/>
        </w:rPr>
        <w:t>.1</w:t>
      </w:r>
      <w:r>
        <w:rPr>
          <w:rStyle w:val="Strong"/>
          <w:b w:val="false"/>
          <w:bCs w:val="false"/>
          <w:color w:val="000000"/>
          <w:sz w:val="22"/>
          <w:szCs w:val="22"/>
        </w:rPr>
        <w:t>9</w:t>
      </w:r>
      <w:r>
        <w:rPr>
          <w:rStyle w:val="Strong"/>
          <w:b w:val="false"/>
          <w:bCs w:val="false"/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«Поставка ограничителей перенапряжения 35кВ; 110кВ; 330кВ </w:t>
      </w:r>
    </w:p>
    <w:p>
      <w:pPr>
        <w:pStyle w:val="Normal"/>
        <w:keepNext w:val="true"/>
        <w:keepLines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для нужд Филиала ПАО «РусГидро»-«Северо-Осетинский филиал» </w:t>
      </w:r>
    </w:p>
    <w:p>
      <w:pPr>
        <w:pStyle w:val="Normal"/>
        <w:keepNext w:val="true"/>
        <w:keepLines/>
        <w:spacing w:lineRule="atLeast" w:line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Аварийный запас</w:t>
      </w:r>
      <w:r>
        <w:rPr>
          <w:sz w:val="22"/>
          <w:szCs w:val="22"/>
          <w:lang w:val="en-US"/>
        </w:rPr>
        <w:t>)</w:t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/>
        <w:jc w:val="center"/>
        <w:rPr>
          <w:sz w:val="22"/>
          <w:szCs w:val="22"/>
          <w:lang w:eastAsia="x-none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5"/>
            <w:tabs>
              <w:tab w:val="left" w:pos="284" w:leader="none"/>
              <w:tab w:val="left" w:pos="850" w:leader="none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5"/>
              <w:sz w:val="22"/>
              <w:szCs w:val="22"/>
            </w:rPr>
            <w:instrText xml:space="preserve"> TOC \z \o "1-5" \u \h</w:instrText>
          </w:r>
          <w:r>
            <w:rPr>
              <w:webHidden/>
              <w:rStyle w:val="Style5"/>
              <w:sz w:val="22"/>
              <w:szCs w:val="22"/>
            </w:rPr>
            <w:fldChar w:fldCharType="separate"/>
          </w:r>
          <w:hyperlink w:anchor="_Toc232714240">
            <w:r>
              <w:rPr>
                <w:webHidden/>
                <w:rStyle w:val="Style5"/>
                <w:sz w:val="22"/>
                <w:szCs w:val="22"/>
              </w:rPr>
              <w:t>1.1.</w:t>
            </w:r>
            <w:r>
              <w:rPr>
                <w:rStyle w:val="Style5"/>
                <w:rFonts w:eastAsia="" w:eastAsiaTheme="minorEastAsia"/>
                <w:sz w:val="22"/>
                <w:szCs w:val="22"/>
              </w:rPr>
              <w:tab/>
            </w:r>
            <w:r>
              <w:rPr>
                <w:rStyle w:val="Style5"/>
                <w:sz w:val="22"/>
                <w:szCs w:val="22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1">
            <w:r>
              <w:rPr>
                <w:webHidden/>
                <w:rStyle w:val="Style5"/>
                <w:sz w:val="22"/>
                <w:szCs w:val="22"/>
              </w:rPr>
              <w:t>1.2.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2">
            <w:r>
              <w:rPr>
                <w:webHidden/>
                <w:rStyle w:val="Style5"/>
                <w:sz w:val="22"/>
                <w:szCs w:val="22"/>
                <w:lang w:eastAsia="en-US"/>
              </w:rPr>
              <w:t>1.3. 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3">
            <w:r>
              <w:rPr>
                <w:webHidden/>
                <w:rStyle w:val="Style5"/>
                <w:sz w:val="22"/>
                <w:szCs w:val="22"/>
              </w:rPr>
              <w:t xml:space="preserve">1.4. </w:t>
            </w:r>
            <w:r>
              <w:rPr>
                <w:rStyle w:val="Style5"/>
                <w:rFonts w:eastAsia="Calibri"/>
                <w:sz w:val="22"/>
                <w:szCs w:val="22"/>
              </w:rPr>
              <w:t>Существующее положение: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4">
            <w:r>
              <w:rPr>
                <w:webHidden/>
                <w:rStyle w:val="Style5"/>
                <w:sz w:val="22"/>
                <w:szCs w:val="22"/>
              </w:rPr>
              <w:t>1.4.1.Место поставки товара: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5">
            <w:r>
              <w:rPr>
                <w:webHidden/>
                <w:rStyle w:val="Style5"/>
                <w:sz w:val="22"/>
                <w:szCs w:val="22"/>
              </w:rPr>
              <w:t>1.4.2. Покупатель (подразделение Покупателя)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6">
            <w:r>
              <w:rPr>
                <w:webHidden/>
                <w:rStyle w:val="Style5"/>
                <w:rFonts w:eastAsia="Calibri"/>
                <w:sz w:val="22"/>
                <w:szCs w:val="22"/>
              </w:rPr>
              <w:t>1.4.3. Основание на закупку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7">
            <w:r>
              <w:rPr>
                <w:webHidden/>
                <w:rStyle w:val="Style5"/>
                <w:sz w:val="22"/>
                <w:szCs w:val="22"/>
              </w:rPr>
              <w:t>1.5. 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8">
            <w:r>
              <w:rPr>
                <w:webHidden/>
                <w:rStyle w:val="Style5"/>
                <w:sz w:val="22"/>
                <w:szCs w:val="22"/>
              </w:rPr>
              <w:t>2.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49">
            <w:r>
              <w:rPr>
                <w:webHidden/>
                <w:rStyle w:val="Style5"/>
                <w:sz w:val="22"/>
                <w:szCs w:val="22"/>
              </w:rPr>
              <w:t>2.1. 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5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0">
            <w:r>
              <w:rPr>
                <w:webHidden/>
                <w:rStyle w:val="Style5"/>
                <w:sz w:val="22"/>
                <w:szCs w:val="22"/>
              </w:rPr>
              <w:t>2.1.1.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1">
            <w:r>
              <w:rPr>
                <w:webHidden/>
                <w:rStyle w:val="Style5"/>
                <w:sz w:val="22"/>
                <w:szCs w:val="22"/>
              </w:rPr>
              <w:t>Таблица 1.1 «Перечень и объем закупаемой продукции»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2">
            <w:r>
              <w:rPr>
                <w:webHidden/>
                <w:rStyle w:val="Style5"/>
                <w:sz w:val="22"/>
                <w:szCs w:val="22"/>
                <w:lang w:eastAsia="x-none"/>
              </w:rPr>
              <w:t>2.1.2.</w:t>
            </w:r>
            <w:r>
              <w:rPr>
                <w:rStyle w:val="Style5"/>
                <w:sz w:val="22"/>
                <w:szCs w:val="22"/>
              </w:rPr>
              <w:t xml:space="preserve"> 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345" w:leader="dot"/>
            </w:tabs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3">
            <w:r>
              <w:rPr>
                <w:webHidden/>
                <w:rStyle w:val="Style5"/>
                <w:sz w:val="22"/>
                <w:szCs w:val="22"/>
              </w:rPr>
              <w:t>Таблица 2.2 Требования по срокам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4">
            <w:r>
              <w:rPr>
                <w:webHidden/>
                <w:rStyle w:val="Style5"/>
                <w:sz w:val="22"/>
                <w:szCs w:val="22"/>
              </w:rPr>
              <w:t>2.2.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345" w:leader="dot"/>
            </w:tabs>
            <w:ind w:left="0" w:hanging="0"/>
            <w:jc w:val="both"/>
            <w:rPr>
              <w:rFonts w:eastAsia="" w:eastAsiaTheme="minorEastAsia"/>
              <w:sz w:val="22"/>
              <w:szCs w:val="22"/>
            </w:rPr>
          </w:pPr>
          <w:hyperlink w:anchor="_Toc232714255">
            <w:r>
              <w:rPr>
                <w:webHidden/>
                <w:rStyle w:val="Style5"/>
                <w:sz w:val="22"/>
                <w:szCs w:val="22"/>
              </w:rPr>
              <w:t>3. Требования к документации по ценообразованию на этапе закупки.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_Toc232714255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5"/>
                <w:vanish w:val="false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5"/>
              <w:sz w:val="22"/>
              <w:szCs w:val="22"/>
              <w:vanish w:val="false"/>
            </w:rPr>
            <w:fldChar w:fldCharType="end"/>
          </w:r>
        </w:p>
      </w:sdtContent>
    </w:sdt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 Приложения                                                                                                                                              5</w:t>
      </w:r>
    </w:p>
    <w:p>
      <w:pPr>
        <w:pStyle w:val="Normal"/>
        <w:spacing w:lineRule="atLeast" w:line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numPr>
          <w:ilvl w:val="1"/>
          <w:numId w:val="2"/>
        </w:numPr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0" w:name="_Toc232714240"/>
      <w:r>
        <w:rPr>
          <w:i w:val="false"/>
          <w:iCs w:val="false"/>
          <w:sz w:val="22"/>
          <w:szCs w:val="22"/>
        </w:rPr>
        <w:t>Обозначения и сокращения</w:t>
      </w:r>
      <w:bookmarkEnd w:id="0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1560" w:leader="none"/>
        </w:tabs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НТД               - нормативная техническая документация;</w:t>
      </w:r>
    </w:p>
    <w:p>
      <w:pPr>
        <w:pStyle w:val="Normal"/>
        <w:spacing w:lineRule="atLeast" w:line="0"/>
        <w:ind w:left="1276" w:right="-143" w:hanging="1276"/>
        <w:jc w:val="both"/>
        <w:rPr>
          <w:sz w:val="22"/>
          <w:szCs w:val="22"/>
        </w:rPr>
      </w:pPr>
      <w:r>
        <w:rPr>
          <w:sz w:val="22"/>
          <w:szCs w:val="22"/>
        </w:rPr>
        <w:t>РЭ</w:t>
        <w:tab/>
        <w:t>- руководство (инструкция) по монтажу, эксплуатации, проведению регламентных работ по техническому обслуживанию и ремонтам;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ОПН              - ограничитель перенапряжения;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ТТ                  - технические требования.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Аварийный запас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Конструкторская документация - графические и текстовые документы, поставляемые вместе с изделием, которые в отдельности или в совокупности определяют состав и устройство изделия и содержат необходимые данные для его монтажа, контроля, приемки, эксплуатации, технического обслуживания и ремонта.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Накладная ТОРГ-12 – документ, оформляемый по унифицированной форме № ТОРГ-12 «Товарная накладная», утвержденной постановлением Госкомстата РФ от 25.12.1998 №132, подписываемый Сторонами после завершения приемки изделий по количеству, качеству и комплектности.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  <w:t>Поставщик – Участник, с которым Покупатель заключил Договор по данным требованиям на поставку оборудования и оказание услуг.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2"/>
        <w:widowControl w:val="false"/>
        <w:spacing w:lineRule="atLeast" w:line="0" w:before="0" w:after="0"/>
        <w:rPr>
          <w:rFonts w:cs="Times New Roman"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>Технические требования-</w:t>
      </w:r>
      <w:r>
        <w:rPr>
          <w:rFonts w:cs="Times New Roman"/>
          <w:color w:val="auto"/>
          <w:sz w:val="22"/>
          <w:szCs w:val="22"/>
        </w:rPr>
        <w:t>документ, включающий в себя требования к техническим и/или эксплуатационным и прочим характеристикам закупаемой продукции.</w:t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0"/>
        <w:ind w:right="14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r>
        <w:fldChar w:fldCharType="begin"/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instrText xml:space="preserve"> HYPERLINK "../D:/%D0%A2%D0%A2%20%D0%AD%D0%B7%D0%BC%D0%B8%D0%BD%20%D0%93%D0%AD%D0%A1%202018/%D0%94%D0%BB%D1%8F%20%D0%9F%D0%97%D0%94%20%D0%A0%D0%A3-0,4-110%D0%BA%D0%92%20%D0%AD%D0%B7%D0%BC%D0%B8%D0%BD%20%D0%93%D0%AD%D0%A1/%D0%97%D0%B0%D0%BC%D0%B5%D1%87%D0%B0%D0%BD%D0%B8%D1%8F%20%D0%BE%D1%82%20%D0%94%D1%83%D0%B4%D0%B8%D0%BD%D0%B0%20%D0%90.%D0%9C/%D0%A2%D0%A2%20%D0%AD%D0%B7%D0%BC%D0%B8%D0%BD%D1%81%D0%BA%D0%B0%D1%8F%20%D0%93%D0%AD%D0%A1%20%D0%A1%D0%9E%D0%A4%20%D0%A0%D0%A3-0,4-110%D0%BA%D0%92%20%D0%B1%D0%B5%D0%B7%20%D0%90%D0%9F%D0%A1%20%D0%94%D0%93%D0%A3.docx" \l "_1.Наименование_закупаемых_работ,"</w:instrTex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separate"/>
      </w:r>
      <w:bookmarkStart w:id="1" w:name="_Toc23271424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>1.</w:t>
      </w:r>
      <w:r>
        <w:rPr>
          <w:rStyle w:val="Hyperlink"/>
          <w:sz w:val="22"/>
          <w:i w:val="false"/>
          <w:u w:val="none"/>
          <w:szCs w:val="22"/>
          <w:iCs w:val="false"/>
          <w:color w:val="auto"/>
        </w:rPr>
        <w:fldChar w:fldCharType="end"/>
      </w:r>
      <w:r>
        <w:rPr>
          <w:rStyle w:val="Hyperlink"/>
          <w:i w:val="false"/>
          <w:iCs w:val="false"/>
          <w:color w:val="auto"/>
          <w:sz w:val="22"/>
          <w:szCs w:val="22"/>
          <w:u w:val="none"/>
          <w:lang w:val="ru-RU"/>
        </w:rPr>
        <w:t>2.</w:t>
      </w:r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Наименование закупаемой продукции</w:t>
      </w:r>
      <w:bookmarkEnd w:id="1"/>
      <w:r>
        <w:rPr>
          <w:rStyle w:val="Hyperlink"/>
          <w:i w:val="false"/>
          <w:iCs w:val="false"/>
          <w:color w:val="auto"/>
          <w:sz w:val="22"/>
          <w:szCs w:val="22"/>
          <w:u w:val="none"/>
        </w:rPr>
        <w:t xml:space="preserve"> </w:t>
      </w:r>
    </w:p>
    <w:p>
      <w:pPr>
        <w:pStyle w:val="Normal"/>
        <w:spacing w:lineRule="atLeast" w:line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</w:r>
    </w:p>
    <w:p>
      <w:pPr>
        <w:pStyle w:val="Normal"/>
        <w:keepNext w:val="true"/>
        <w:keepLines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«Поставка ограничителей перенапряжения 35кВ; 110кВ; 330кВ для нужд Филиала ПАО «РусГидро»-«Северо-Осетинский филиал» (Аварийный запас)</w:t>
      </w:r>
    </w:p>
    <w:p>
      <w:pPr>
        <w:pStyle w:val="Normal"/>
        <w:spacing w:lineRule="atLeast" w:line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</w:r>
    </w:p>
    <w:p>
      <w:pPr>
        <w:pStyle w:val="Heading5"/>
        <w:spacing w:lineRule="atLeast" w:line="0" w:before="0" w:after="0"/>
        <w:rPr/>
      </w:pPr>
      <w:bookmarkStart w:id="2" w:name="_Toc46743507"/>
      <w:bookmarkStart w:id="3" w:name="_Toc232714242"/>
      <w:r>
        <w:rPr>
          <w:i w:val="false"/>
          <w:iCs w:val="false"/>
          <w:sz w:val="22"/>
          <w:szCs w:val="22"/>
          <w:lang w:val="ru-RU" w:eastAsia="en-US"/>
        </w:rPr>
        <w:t>1.3. Цель использования закупаемой продукции</w:t>
      </w:r>
      <w:bookmarkEnd w:id="2"/>
      <w:bookmarkEnd w:id="3"/>
    </w:p>
    <w:p>
      <w:pPr>
        <w:pStyle w:val="Normal"/>
        <w:spacing w:lineRule="atLeast" w:line="0"/>
        <w:ind w:right="-143" w:hanging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1.3.1. Продукция (изделия), указанные в Таблице 1.1 настоящих ТТ, закупается для аварийного запаса </w:t>
      </w:r>
      <w:r>
        <w:rPr>
          <w:sz w:val="22"/>
          <w:szCs w:val="22"/>
        </w:rPr>
        <w:t>ограничителей перенапряжения 35кВ; 110кВ; 330кВ</w:t>
      </w:r>
    </w:p>
    <w:p>
      <w:pPr>
        <w:pStyle w:val="Normal"/>
        <w:spacing w:lineRule="atLeast" w:line="0"/>
        <w:rPr>
          <w:strike/>
          <w:sz w:val="22"/>
          <w:szCs w:val="22"/>
        </w:rPr>
      </w:pPr>
      <w:r>
        <w:rPr>
          <w:strike/>
          <w:sz w:val="22"/>
          <w:szCs w:val="22"/>
        </w:rPr>
        <w:t xml:space="preserve"> </w:t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4" w:name="_Toc232714243"/>
      <w:bookmarkStart w:id="5" w:name="_Toc42493813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Существующее положение:</w:t>
      </w:r>
      <w:bookmarkEnd w:id="4"/>
      <w:bookmarkEnd w:id="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6" w:name="_Toc232714244"/>
      <w:bookmarkStart w:id="7" w:name="_Toc42493814"/>
      <w:r>
        <w:rPr>
          <w:i w:val="false"/>
          <w:iCs w:val="false"/>
          <w:sz w:val="22"/>
          <w:szCs w:val="22"/>
        </w:rPr>
        <w:t>1.4.1.Место поставки товара:</w:t>
      </w:r>
      <w:bookmarkEnd w:id="6"/>
      <w:bookmarkEnd w:id="7"/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1.4.1.1. Республика Северная Осетия – Алания, Филиал ПАО «РусГидро» - «Северо-Осетинский филиал». 362049, г. Владикавказ, ул. В. Абаева, 63. </w:t>
      </w:r>
    </w:p>
    <w:p>
      <w:pPr>
        <w:pStyle w:val="Normal"/>
        <w:spacing w:lineRule="atLeast" w:line="0"/>
        <w:ind w:right="-2" w:hang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8" w:name="_Toc232714245"/>
      <w:bookmarkStart w:id="9" w:name="_Toc42493810"/>
      <w:r>
        <w:rPr>
          <w:i w:val="false"/>
          <w:iCs w:val="false"/>
          <w:sz w:val="22"/>
          <w:szCs w:val="22"/>
          <w:lang w:val="ru-RU"/>
        </w:rPr>
        <w:t>1.4.</w:t>
      </w:r>
      <w:r>
        <w:rPr>
          <w:i w:val="false"/>
          <w:iCs w:val="false"/>
          <w:sz w:val="22"/>
          <w:szCs w:val="22"/>
        </w:rPr>
        <w:t>2. Покупатель (подразделение Покупателя)</w:t>
      </w:r>
      <w:bookmarkEnd w:id="8"/>
      <w:bookmarkEnd w:id="9"/>
      <w:r>
        <w:rPr>
          <w:i w:val="false"/>
          <w:iCs w:val="false"/>
          <w:sz w:val="22"/>
          <w:szCs w:val="22"/>
        </w:rPr>
        <w:t xml:space="preserve">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1.4.2.1. Филиал ПАО «РусГидро» - «Северо-Осетинский филиал».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РСО – Алания, 362049, г. Владикавказ, ул. В. Абаева, 63.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 xml:space="preserve">1.4.2.2. Подразделение-куратор: Производственно-техническая служба 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Филиала ПАО «РусГидро» - «Северо-Осетинский филиал»</w:t>
      </w:r>
    </w:p>
    <w:p>
      <w:pPr>
        <w:pStyle w:val="Normal"/>
        <w:spacing w:lineRule="atLeast" w:line="0"/>
        <w:ind w:right="-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rFonts w:eastAsia="Calibri"/>
          <w:i w:val="false"/>
          <w:i w:val="false"/>
          <w:iCs w:val="false"/>
          <w:sz w:val="22"/>
          <w:szCs w:val="22"/>
        </w:rPr>
      </w:pPr>
      <w:bookmarkStart w:id="10" w:name="_Toc232714246"/>
      <w:bookmarkStart w:id="11" w:name="_Toc42493815"/>
      <w:r>
        <w:rPr>
          <w:rFonts w:eastAsia="Calibri"/>
          <w:i w:val="false"/>
          <w:iCs w:val="false"/>
          <w:sz w:val="22"/>
          <w:szCs w:val="22"/>
          <w:lang w:val="ru-RU"/>
        </w:rPr>
        <w:t>1.4</w:t>
      </w:r>
      <w:r>
        <w:rPr>
          <w:rFonts w:eastAsia="Calibri"/>
          <w:i w:val="false"/>
          <w:iCs w:val="false"/>
          <w:sz w:val="22"/>
          <w:szCs w:val="22"/>
        </w:rPr>
        <w:t>.3.</w:t>
      </w:r>
      <w:r>
        <w:rPr>
          <w:rFonts w:eastAsia="Calibri"/>
          <w:i w:val="false"/>
          <w:iCs w:val="false"/>
          <w:sz w:val="22"/>
          <w:szCs w:val="22"/>
          <w:lang w:val="ru-RU"/>
        </w:rPr>
        <w:t xml:space="preserve"> </w:t>
      </w:r>
      <w:r>
        <w:rPr>
          <w:rFonts w:eastAsia="Calibri"/>
          <w:i w:val="false"/>
          <w:iCs w:val="false"/>
          <w:sz w:val="22"/>
          <w:szCs w:val="22"/>
        </w:rPr>
        <w:t>Основание на закупку</w:t>
      </w:r>
      <w:bookmarkEnd w:id="10"/>
      <w:bookmarkEnd w:id="11"/>
    </w:p>
    <w:p>
      <w:pPr>
        <w:pStyle w:val="Normal"/>
        <w:spacing w:lineRule="atLeast" w:line="0"/>
        <w:rPr>
          <w:sz w:val="22"/>
          <w:szCs w:val="22"/>
          <w:shd w:fill="FFFFFF" w:val="clear"/>
        </w:rPr>
      </w:pPr>
      <w:r>
        <w:rPr>
          <w:rFonts w:eastAsia="Calibri"/>
          <w:sz w:val="22"/>
          <w:szCs w:val="22"/>
        </w:rPr>
        <w:t xml:space="preserve">Пункт 30 Раздела </w:t>
      </w:r>
      <w:r>
        <w:rPr>
          <w:rFonts w:eastAsia="Calibri"/>
          <w:sz w:val="22"/>
          <w:szCs w:val="22"/>
          <w:lang w:val="en-US"/>
        </w:rPr>
        <w:t>V</w:t>
      </w:r>
      <w:r>
        <w:rPr>
          <w:rFonts w:eastAsia="Calibri"/>
          <w:sz w:val="22"/>
          <w:szCs w:val="22"/>
        </w:rPr>
        <w:t xml:space="preserve">, </w:t>
      </w:r>
      <w:r>
        <w:rPr>
          <w:sz w:val="22"/>
          <w:szCs w:val="22"/>
          <w:shd w:fill="FFFFFF" w:val="clear"/>
        </w:rPr>
        <w:t>Приложение № 9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hd w:fill="FFFFFF" w:val="clear"/>
        </w:rPr>
        <w:t>Правил технической эксплуатации электрических станций и сетей Российской Федерации (утверждены приказом Минэнерго России от 4 октября 2022 г. № 1070)</w:t>
      </w:r>
    </w:p>
    <w:p>
      <w:pPr>
        <w:pStyle w:val="Normal"/>
        <w:spacing w:lineRule="atLeast" w:line="0"/>
        <w:rPr>
          <w:caps/>
          <w:spacing w:val="2"/>
          <w:sz w:val="22"/>
          <w:szCs w:val="22"/>
        </w:rPr>
      </w:pPr>
      <w:r>
        <w:rPr>
          <w:caps/>
          <w:spacing w:val="2"/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2" w:name="_Toc232714247"/>
      <w:r>
        <w:rPr>
          <w:i w:val="false"/>
          <w:iCs w:val="false"/>
          <w:sz w:val="22"/>
          <w:szCs w:val="22"/>
        </w:rPr>
        <w:t>1.5. Иные требования и сведения общего характера</w:t>
      </w:r>
      <w:bookmarkEnd w:id="12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p>
      <w:pPr>
        <w:pStyle w:val="Normal"/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1.5.1. </w:t>
      </w:r>
      <w:r>
        <w:rPr>
          <w:sz w:val="22"/>
          <w:szCs w:val="22"/>
        </w:rPr>
        <w:t>Для подтверждения соответствия заявленных характеристик и конструктива предложенной продукции, требованиям настоящих ТТ,</w:t>
      </w:r>
      <w:r>
        <w:rPr>
          <w:sz w:val="22"/>
          <w:szCs w:val="22"/>
          <w:lang w:eastAsia="en-US"/>
        </w:rPr>
        <w:t xml:space="preserve"> Участником (на этапе подачи предложения) предоставляется </w:t>
      </w:r>
      <w:r>
        <w:rPr>
          <w:sz w:val="22"/>
          <w:szCs w:val="22"/>
        </w:rPr>
        <w:t>Техническое предложение, подготовленное в соответствие настоящим ТТ.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  <w:r>
        <w:rPr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1.5.2. </w:t>
      </w:r>
      <w:r>
        <w:rPr>
          <w:sz w:val="22"/>
          <w:szCs w:val="22"/>
          <w:lang w:eastAsia="en-US"/>
        </w:rPr>
        <w:t>Вся документация на продукцию предоставляется на русском языке: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электронном носителе - 2экз;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ind w:left="567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на бумажном носителе - 2 экземпляра.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1.5.3.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предложения); Поставщиком (на этапе исполнения договора):</w:t>
      </w:r>
    </w:p>
    <w:p>
      <w:pPr>
        <w:pStyle w:val="Normal"/>
        <w:spacing w:lineRule="atLeast" w:line="0"/>
        <w:ind w:right="-142" w:hanging="0"/>
        <w:rPr>
          <w:sz w:val="22"/>
          <w:szCs w:val="22"/>
          <w:lang w:eastAsia="en-US"/>
        </w:rPr>
      </w:pPr>
      <w:r>
        <w:rPr>
          <w:sz w:val="22"/>
          <w:szCs w:val="22"/>
        </w:rPr>
        <w:t>1.5.3.1. Должны быть приложены:</w:t>
      </w:r>
    </w:p>
    <w:p>
      <w:pPr>
        <w:pStyle w:val="Normal"/>
        <w:spacing w:lineRule="atLeast" w:line="0"/>
        <w:ind w:right="-142" w:firstLine="567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- </w:t>
      </w:r>
      <w:r>
        <w:rPr>
          <w:bCs/>
          <w:sz w:val="22"/>
          <w:szCs w:val="22"/>
          <w:lang w:eastAsia="en-US"/>
        </w:rPr>
        <w:t>реестр предоставляемой документации;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техническое предложение в формате таблицы 3; в составе </w:t>
      </w:r>
      <w:r>
        <w:rPr>
          <w:bCs/>
          <w:sz w:val="22"/>
          <w:szCs w:val="22"/>
          <w:lang w:eastAsia="en-US"/>
        </w:rPr>
        <w:t>Технического предложения должен быть заполненный столбец №6 таблицы 3 ТТ.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1.5.3.1.1. </w:t>
      </w:r>
      <w:r>
        <w:rPr>
          <w:rFonts w:eastAsia="Calibri"/>
          <w:sz w:val="22"/>
          <w:szCs w:val="22"/>
        </w:rPr>
        <w:t xml:space="preserve">Предложения по Разделам 1, 2, 3, 4, 7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Участниками закупки</w:t>
      </w:r>
      <w:r>
        <w:rPr>
          <w:sz w:val="22"/>
          <w:szCs w:val="22"/>
          <w:lang w:eastAsia="en-US"/>
        </w:rPr>
        <w:t xml:space="preserve"> на этапе подачи предложения.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1.5.3.1.2. </w:t>
      </w:r>
      <w:r>
        <w:rPr>
          <w:rFonts w:eastAsia="Calibri"/>
          <w:sz w:val="22"/>
          <w:szCs w:val="22"/>
        </w:rPr>
        <w:t xml:space="preserve">Предложения по Разделам 5, 6, 8, 9, 10, 11, 12 </w:t>
      </w:r>
      <w:r>
        <w:rPr>
          <w:bCs/>
          <w:sz w:val="22"/>
          <w:szCs w:val="22"/>
          <w:lang w:eastAsia="en-US"/>
        </w:rPr>
        <w:t>таблицы 3 ТТ</w:t>
      </w:r>
      <w:r>
        <w:rPr>
          <w:sz w:val="22"/>
          <w:szCs w:val="22"/>
        </w:rPr>
        <w:t xml:space="preserve"> предоставляются</w:t>
      </w:r>
      <w:r>
        <w:rPr>
          <w:sz w:val="22"/>
          <w:szCs w:val="22"/>
          <w:lang w:eastAsia="x-none"/>
        </w:rPr>
        <w:t xml:space="preserve"> Поставщиком</w:t>
      </w:r>
      <w:r>
        <w:rPr>
          <w:sz w:val="22"/>
          <w:szCs w:val="22"/>
          <w:lang w:eastAsia="en-US"/>
        </w:rPr>
        <w:t xml:space="preserve"> на этапе исполнения договора и не предоставляются на этапе подачи предложения.</w:t>
      </w:r>
    </w:p>
    <w:p>
      <w:pPr>
        <w:pStyle w:val="Normal"/>
        <w:spacing w:lineRule="atLeast" w:line="0"/>
        <w:ind w:right="-142" w:hanging="0"/>
        <w:rPr>
          <w:sz w:val="22"/>
          <w:szCs w:val="22"/>
        </w:rPr>
      </w:pPr>
      <w:r>
        <w:rPr>
          <w:sz w:val="22"/>
          <w:szCs w:val="22"/>
        </w:rPr>
        <w:t>1.5.3.2. Не допускается ограничиваться типовыми фразами («готовы выполнить все в соответствии с ТТ», «со всем согласны» и т.д.) или копированием конкретных требований из ТТ, необходимо самостоятельно заполнить все ячейки, подтверждающие соответствие требованиям Заказчика;</w:t>
      </w:r>
    </w:p>
    <w:p>
      <w:pPr>
        <w:pStyle w:val="Normal"/>
        <w:spacing w:lineRule="atLeast" w:line="0"/>
        <w:rPr>
          <w:bCs/>
          <w:sz w:val="22"/>
          <w:szCs w:val="22"/>
        </w:rPr>
      </w:pPr>
      <w:r>
        <w:rPr>
          <w:sz w:val="22"/>
          <w:szCs w:val="22"/>
        </w:rPr>
        <w:t xml:space="preserve">1.5.3.2.1. </w:t>
      </w:r>
      <w:r>
        <w:rPr>
          <w:bCs/>
          <w:sz w:val="22"/>
          <w:szCs w:val="22"/>
        </w:rPr>
        <w:t>Участник должен представить в заявке согласие поставить продукцию, полностью соответствующую настоящим техническим требованиям.</w:t>
      </w:r>
    </w:p>
    <w:p>
      <w:pPr>
        <w:pStyle w:val="Normal"/>
        <w:spacing w:lineRule="atLeast" w:line="0"/>
        <w:rPr>
          <w:sz w:val="22"/>
          <w:szCs w:val="22"/>
        </w:rPr>
      </w:pPr>
      <w:r>
        <w:rPr>
          <w:sz w:val="22"/>
          <w:szCs w:val="22"/>
        </w:rPr>
        <w:t>1.5.3.2.2. Изделия будут использоваться во взаимодействии с уже использующимся Заказчиком установленным на станции оборудованием распределительных устройств и кабельными линиями.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x-none"/>
        </w:rPr>
        <w:t>При заполнении Таблицы 3, являющейся одновременно формой технического предложения, Участникам закупки, Поставщиком необходимо учесть следующее:</w:t>
      </w:r>
    </w:p>
    <w:p>
      <w:pPr>
        <w:pStyle w:val="Normal"/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>1. При наличии в строках знака «-» в столбце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необходимо подтвердить (выполнение) требования параметра, характеристики - документ, подтверждающий выполнение требования параметра, характеристики, </w:t>
      </w:r>
      <w:r>
        <w:rPr>
          <w:sz w:val="22"/>
          <w:szCs w:val="22"/>
          <w:lang w:eastAsia="en-US"/>
        </w:rPr>
        <w:t>на этапе подачи коммерческого предложения</w:t>
      </w:r>
      <w:r>
        <w:rPr>
          <w:sz w:val="22"/>
          <w:szCs w:val="22"/>
          <w:lang w:eastAsia="x-none"/>
        </w:rPr>
        <w:t xml:space="preserve"> не предоставляется.</w:t>
      </w:r>
    </w:p>
    <w:p>
      <w:pPr>
        <w:pStyle w:val="Normal"/>
        <w:tabs>
          <w:tab w:val="clear" w:pos="708"/>
          <w:tab w:val="left" w:pos="993" w:leader="none"/>
        </w:tabs>
        <w:spacing w:lineRule="atLeast" w:line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</w:rPr>
        <w:t>1.5.3.3.</w:t>
      </w:r>
      <w:r>
        <w:rPr>
          <w:sz w:val="22"/>
          <w:szCs w:val="22"/>
          <w:lang w:eastAsia="x-none"/>
        </w:rPr>
        <w:t>2. При наличии в строках столбца 5 «</w:t>
      </w:r>
      <w:r>
        <w:rPr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sz w:val="22"/>
          <w:szCs w:val="22"/>
          <w:lang w:eastAsia="x-none"/>
        </w:rPr>
        <w:t xml:space="preserve"> указания о представлении подтверждающего документа (сертификат, декларация о соответствии, чертеж, схема или иное) Участником закупки, Поставщиком должен предоставляться документ, подтверждающий выполнение требования параметра, характеристики.  </w:t>
      </w:r>
    </w:p>
    <w:p>
      <w:pPr>
        <w:pStyle w:val="Normal"/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  <w:t>1.5.3.3</w:t>
      </w:r>
      <w:r>
        <w:rPr>
          <w:bCs/>
          <w:sz w:val="22"/>
          <w:szCs w:val="22"/>
          <w:lang w:eastAsia="en-US"/>
        </w:rPr>
        <w:t>.</w:t>
      </w:r>
      <w:r>
        <w:rPr>
          <w:sz w:val="22"/>
          <w:szCs w:val="22"/>
          <w:lang w:eastAsia="x-none"/>
        </w:rPr>
        <w:t xml:space="preserve">3. Ячейки со знаком </w:t>
      </w:r>
      <w:r>
        <w:rPr>
          <w:sz w:val="22"/>
          <w:szCs w:val="22"/>
        </w:rPr>
        <w:t>-//- не заполняются.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1.5.4.</w:t>
      </w:r>
      <w:r>
        <w:rPr>
          <w:sz w:val="22"/>
          <w:szCs w:val="22"/>
        </w:rPr>
        <w:t xml:space="preserve"> В своем предложении </w:t>
      </w:r>
      <w:r>
        <w:rPr>
          <w:sz w:val="22"/>
          <w:szCs w:val="22"/>
          <w:lang w:eastAsia="en-US"/>
        </w:rPr>
        <w:t>Участником (на этапе подачи предложения) д</w:t>
      </w:r>
      <w:r>
        <w:rPr>
          <w:sz w:val="22"/>
          <w:szCs w:val="22"/>
        </w:rPr>
        <w:t>олжны быть приложены:</w:t>
      </w:r>
    </w:p>
    <w:p>
      <w:pPr>
        <w:pStyle w:val="Normal"/>
        <w:spacing w:lineRule="atLeast" w:line="0"/>
        <w:ind w:left="567" w:right="-143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 спецификация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>-</w:t>
      </w:r>
      <w:r>
        <w:rPr>
          <w:sz w:val="22"/>
          <w:szCs w:val="22"/>
        </w:rPr>
        <w:t xml:space="preserve"> план-график поставок продукции в соответствие с таблицей №2.1 в соответствие с реестром (спецификацией) поставляемой продукции;</w:t>
      </w:r>
    </w:p>
    <w:p>
      <w:pPr>
        <w:pStyle w:val="Normal"/>
        <w:spacing w:lineRule="atLeast" w:line="0"/>
        <w:ind w:left="567" w:right="-284" w:hanging="0"/>
        <w:rPr>
          <w:sz w:val="22"/>
          <w:szCs w:val="22"/>
        </w:rPr>
      </w:pPr>
      <w:r>
        <w:rPr>
          <w:sz w:val="22"/>
          <w:szCs w:val="22"/>
        </w:rPr>
        <w:t>- план-график поставок продукции в соответствие оказания сопутствующих услуг в соответствие с таблицей №2.2 настоящих ТТ;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1.5.5.</w:t>
      </w:r>
      <w:r>
        <w:rPr>
          <w:sz w:val="22"/>
          <w:szCs w:val="22"/>
        </w:rPr>
        <w:t xml:space="preserve"> Допускается, по согласованию с Заказчиком (Покупателем), досрочная поставка продукции в соответствие со спецификацией.</w:t>
      </w:r>
    </w:p>
    <w:p>
      <w:pPr>
        <w:pStyle w:val="Normal"/>
        <w:spacing w:lineRule="atLeast" w:line="0"/>
        <w:ind w:right="-143" w:hanging="0"/>
        <w:jc w:val="both"/>
        <w:rPr>
          <w:sz w:val="22"/>
          <w:szCs w:val="22"/>
        </w:rPr>
      </w:pPr>
      <w:r>
        <w:rPr>
          <w:sz w:val="22"/>
          <w:szCs w:val="22"/>
        </w:rPr>
        <w:t>\</w:t>
      </w:r>
      <w:r>
        <w:rPr>
          <w:b/>
          <w:sz w:val="22"/>
          <w:szCs w:val="22"/>
          <w:lang w:eastAsia="en-US"/>
        </w:rPr>
        <w:t>1.5.6.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Неисполнение требований, </w:t>
      </w:r>
      <w:r>
        <w:rPr>
          <w:sz w:val="22"/>
          <w:szCs w:val="22"/>
          <w:lang w:eastAsia="en-US"/>
        </w:rPr>
        <w:t xml:space="preserve">изложенных в </w:t>
      </w:r>
      <w:r>
        <w:rPr>
          <w:sz w:val="22"/>
          <w:szCs w:val="22"/>
        </w:rPr>
        <w:t xml:space="preserve">п.п.№1.5.1÷1.5.4 для </w:t>
      </w:r>
      <w:r>
        <w:rPr>
          <w:sz w:val="22"/>
          <w:szCs w:val="22"/>
          <w:lang w:eastAsia="en-US"/>
        </w:rPr>
        <w:t xml:space="preserve">Участника (на этапе подачи предложения), </w:t>
      </w:r>
      <w:r>
        <w:rPr>
          <w:sz w:val="22"/>
          <w:szCs w:val="22"/>
        </w:rPr>
        <w:t xml:space="preserve">будет служить основанием для отклонения </w:t>
      </w:r>
      <w:r>
        <w:rPr>
          <w:sz w:val="22"/>
          <w:szCs w:val="22"/>
          <w:lang w:eastAsia="en-US"/>
        </w:rPr>
        <w:t>Участника.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tLeast" w:line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spacing w:lineRule="atLeast" w:line="0" w:before="0" w:after="0"/>
        <w:rPr>
          <w:i w:val="false"/>
          <w:i w:val="false"/>
          <w:iCs w:val="false"/>
          <w:caps/>
          <w:sz w:val="22"/>
          <w:szCs w:val="22"/>
          <w:lang w:val="ru-RU"/>
        </w:rPr>
      </w:pPr>
      <w:bookmarkStart w:id="13" w:name="_Toc232714248"/>
      <w:bookmarkStart w:id="14" w:name="_Toc75446573"/>
      <w:bookmarkStart w:id="15" w:name="_Toc51339693"/>
      <w:r>
        <w:rPr>
          <w:i w:val="false"/>
          <w:iCs w:val="false"/>
          <w:sz w:val="22"/>
          <w:szCs w:val="22"/>
          <w:lang w:val="ru-RU"/>
        </w:rPr>
        <w:t xml:space="preserve">2. </w:t>
      </w:r>
      <w:r>
        <w:rPr>
          <w:i w:val="false"/>
          <w:iCs w:val="false"/>
          <w:sz w:val="22"/>
          <w:szCs w:val="22"/>
        </w:rPr>
        <w:t>Требования к продукции</w:t>
      </w:r>
      <w:bookmarkEnd w:id="13"/>
      <w:bookmarkEnd w:id="14"/>
      <w:bookmarkEnd w:id="15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</w:rPr>
      </w:pPr>
      <w:bookmarkStart w:id="16" w:name="_Toc232714249"/>
      <w:bookmarkStart w:id="17" w:name="_Toc75446574"/>
      <w:r>
        <w:rPr>
          <w:i w:val="false"/>
          <w:iCs w:val="false"/>
          <w:sz w:val="22"/>
          <w:szCs w:val="22"/>
          <w:lang w:val="ru-RU"/>
        </w:rPr>
        <w:t xml:space="preserve">2.1. </w:t>
      </w:r>
      <w:r>
        <w:rPr>
          <w:i w:val="false"/>
          <w:iCs w:val="false"/>
          <w:sz w:val="22"/>
          <w:szCs w:val="22"/>
        </w:rPr>
        <w:t xml:space="preserve">Требования к объемам и срокам </w:t>
      </w:r>
      <w:r>
        <w:rPr>
          <w:i w:val="false"/>
          <w:iCs w:val="false"/>
          <w:sz w:val="22"/>
          <w:szCs w:val="22"/>
          <w:lang w:val="ru-RU"/>
        </w:rPr>
        <w:t>поставки</w:t>
      </w:r>
      <w:bookmarkEnd w:id="16"/>
      <w:bookmarkEnd w:id="17"/>
    </w:p>
    <w:p>
      <w:pPr>
        <w:pStyle w:val="Heading5"/>
        <w:spacing w:lineRule="atLeast" w:line="0" w:before="0" w:after="0"/>
        <w:rPr>
          <w:i w:val="false"/>
          <w:i w:val="false"/>
          <w:iCs w:val="false"/>
          <w:sz w:val="22"/>
          <w:szCs w:val="22"/>
          <w:lang w:val="ru-RU"/>
        </w:rPr>
      </w:pPr>
      <w:bookmarkStart w:id="18" w:name="_Toc75446575"/>
      <w:bookmarkStart w:id="19" w:name="_Toc232714250"/>
      <w:r>
        <w:rPr>
          <w:i w:val="false"/>
          <w:iCs w:val="false"/>
          <w:sz w:val="22"/>
          <w:szCs w:val="22"/>
          <w:lang w:val="ru-RU"/>
        </w:rPr>
        <w:t>2.1.1. Перечень и объем закупаемой продукции</w:t>
      </w:r>
      <w:bookmarkEnd w:id="18"/>
      <w:bookmarkEnd w:id="19"/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0" w:name="_Toc232714251"/>
      <w:bookmarkStart w:id="21" w:name="_Toc54785619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1.1 «Перечень и объем закупаемой продукции»</w:t>
      </w:r>
      <w:bookmarkEnd w:id="20"/>
      <w:bookmarkEnd w:id="21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</w:t>
      </w:r>
    </w:p>
    <w:tbl>
      <w:tblPr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7088"/>
        <w:gridCol w:w="958"/>
        <w:gridCol w:w="884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bookmarkStart w:id="22" w:name="_Hlk179189769"/>
            <w:bookmarkEnd w:id="22"/>
            <w:r>
              <w:rPr>
                <w:sz w:val="22"/>
                <w:szCs w:val="22"/>
              </w:rPr>
              <w:t>№№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закупаемой продукции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23" w:name="_Hlk190271286"/>
            <w:bookmarkEnd w:id="23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Ограничитель перенапряжения типа ОПНп-35/680/40,5-10-III-УХЛ1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Ограничитель перенапряжения типа ОПНп-110/77/10/2 УХЛ1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>
        <w:trPr>
          <w:trHeight w:val="41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Ограничитель перенапряжения типа ОПНп-330/1450/220-20-III-УХЛ1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  <w:lang w:eastAsia="x-none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</w:r>
    </w:p>
    <w:p>
      <w:pPr>
        <w:pStyle w:val="Heading3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4" w:name="_Toc232714252"/>
      <w:r>
        <w:rPr>
          <w:rFonts w:cs="Times New Roman" w:ascii="Times New Roman" w:hAnsi="Times New Roman"/>
          <w:b/>
          <w:bCs/>
          <w:color w:val="auto"/>
          <w:sz w:val="22"/>
          <w:szCs w:val="22"/>
          <w:lang w:eastAsia="x-none"/>
        </w:rPr>
        <w:t>2.1.2.</w:t>
      </w:r>
      <w:bookmarkStart w:id="25" w:name="_Toc75446578"/>
      <w:bookmarkStart w:id="26" w:name="_Toc5133969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 xml:space="preserve"> Требования </w:t>
      </w:r>
      <w:bookmarkEnd w:id="26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к срокам поставки продукции и оказания сопутствующих услуг</w:t>
      </w:r>
      <w:bookmarkEnd w:id="24"/>
      <w:bookmarkEnd w:id="25"/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  <w:t>Таблица 2.1 Требования по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lineRule="atLeast" w:line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34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1"/>
        <w:gridCol w:w="3905"/>
        <w:gridCol w:w="2683"/>
        <w:gridCol w:w="2414"/>
      </w:tblGrid>
      <w:tr>
        <w:trPr>
          <w:trHeight w:val="602" w:hRule="atLeast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 поставки, выполнения услуг</w:t>
            </w:r>
          </w:p>
        </w:tc>
      </w:tr>
      <w:tr>
        <w:trPr>
          <w:trHeight w:val="415" w:hRule="atLeast"/>
        </w:trPr>
        <w:tc>
          <w:tcPr>
            <w:tcW w:w="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3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начала изготовления оборудования / начала оказания услуг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поставки оборудования / окончания оказания услуг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Партия комплекта изделий. Объем поставок в соответствие с Таблицей №1.1 ТТ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 позднее 6 месяцев с даты подписания договора, но не позднее 27.10.2027г</w:t>
            </w:r>
          </w:p>
        </w:tc>
      </w:tr>
    </w:tbl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</w:r>
    </w:p>
    <w:p>
      <w:pPr>
        <w:pStyle w:val="Heading1"/>
        <w:spacing w:lineRule="atLeast" w:line="0"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7" w:name="_Toc232714253"/>
      <w:r>
        <w:rPr>
          <w:rFonts w:cs="Times New Roman" w:ascii="Times New Roman" w:hAnsi="Times New Roman"/>
          <w:b/>
          <w:bCs/>
          <w:color w:val="auto"/>
          <w:sz w:val="22"/>
          <w:szCs w:val="22"/>
        </w:rPr>
        <w:t>Таблица 2.2 Требования по срокам оказания сопутствующих услуг</w:t>
      </w:r>
      <w:bookmarkEnd w:id="27"/>
    </w:p>
    <w:p>
      <w:pPr>
        <w:pStyle w:val="Normal"/>
        <w:spacing w:lineRule="atLeast" w:line="0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4389"/>
        <w:gridCol w:w="1990"/>
        <w:gridCol w:w="2690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bookmarkStart w:id="28" w:name="_Hlk156506202"/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началу срока оказания услуг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Изготовление, входной контроль изделий (в соответствие Таблице №1.1 ТТ). 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Извещение письмом Покупателя о несоответствии технических характеристик данным ТТ, дефектах, повреждениях, выявленных при визуальном осмотре, приемо-сдаточных испытаниях ОПН. Инициирование замены этих изделий, повторных испытаний ОПН в объеме поставок.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Готовность изделий партии поставок.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С даты подписания договора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</w:rPr>
              <w:t>Не позднее 5 месяцев с даты подписания договора, но не позднее 27.09.2027г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Извещение письмом Покупателя о готовности к отгрузке и отправке продукции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п.№1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Не позднее, чем в течение семи календарных дней с даты завершения оказания услуг п.№1 данной таблицы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Сопровождение ответственными лицами Поставщика отгрузки, транспортировки, разгрузки и складирования партии поставки продукции на площадку ГЭС.</w:t>
            </w:r>
          </w:p>
          <w:p>
            <w:pPr>
              <w:pStyle w:val="Normal"/>
              <w:widowControl w:val="false"/>
              <w:spacing w:lineRule="atLeast" w: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 Объем поставок: в соответствие с Таблицей №1.1 ТТ.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jc w:val="center"/>
              <w:rPr>
                <w:b/>
                <w:szCs w:val="22"/>
              </w:rPr>
            </w:pPr>
            <w:r>
              <w:rPr>
                <w:szCs w:val="22"/>
                <w:lang w:eastAsia="en-US"/>
              </w:rPr>
              <w:t>С даты завершения оказания услуг п.№3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1"/>
              <w:keepNext w:val="false"/>
              <w:widowControl w:val="false"/>
              <w:spacing w:lineRule="atLeast" w:line="0" w:before="0" w:after="0"/>
              <w:rPr>
                <w:szCs w:val="22"/>
                <w:lang w:eastAsia="en-US"/>
              </w:rPr>
            </w:pPr>
            <w:bookmarkStart w:id="29" w:name="_Hlk156506202"/>
            <w:r>
              <w:rPr>
                <w:szCs w:val="22"/>
              </w:rPr>
              <w:t>Не позднее 6 месяцев с даты подписания договора, но не позднее 27.10.2027г</w:t>
            </w:r>
            <w:bookmarkEnd w:id="29"/>
          </w:p>
        </w:tc>
      </w:tr>
    </w:tbl>
    <w:p>
      <w:pPr>
        <w:pStyle w:val="Normal"/>
        <w:rPr/>
      </w:pPr>
      <w:r>
        <w:rPr/>
      </w:r>
    </w:p>
    <w:p>
      <w:pPr>
        <w:pStyle w:val="Heading4"/>
        <w:widowControl w:val="false"/>
        <w:spacing w:lineRule="atLeast" w:line="0" w:before="0" w:after="0"/>
        <w:ind w:hanging="2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bookmarkStart w:id="30" w:name="_Toc232714254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>2.2. Требования к качеству продукции</w:t>
      </w:r>
      <w:bookmarkEnd w:id="30"/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>2.2.1. Требования к продукции представлены в Приложениях: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  <w:t>Приложение №1 к ТТ.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Таблица 3. Требования к продукции </w:t>
      </w:r>
    </w:p>
    <w:p>
      <w:pPr>
        <w:pStyle w:val="Normal"/>
        <w:rPr>
          <w:rFonts w:eastAsia="" w:eastAsiaTheme="majorEastAsia"/>
          <w:sz w:val="22"/>
          <w:szCs w:val="22"/>
        </w:rPr>
      </w:pPr>
      <w:bookmarkStart w:id="31" w:name="_Hlk190246111"/>
      <w:bookmarkEnd w:id="31"/>
      <w:r>
        <w:rPr>
          <w:rFonts w:eastAsia="" w:eastAsiaTheme="majorEastAsia"/>
          <w:sz w:val="22"/>
          <w:szCs w:val="22"/>
        </w:rPr>
        <w:t>Наименование продукции: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позиция №1 Таблицы 1.1. </w:t>
      </w:r>
      <w:r>
        <w:rPr>
          <w:sz w:val="22"/>
          <w:szCs w:val="22"/>
        </w:rPr>
        <w:t>Ограничитель перенапряжения типа ОПНп-35/680/40,5-10-III-УХЛ1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  <w:t>Приложение №2 к ТТ.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Таблица 3. Требования к продукции 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>Наименование продукции:</w:t>
      </w:r>
    </w:p>
    <w:p>
      <w:pPr>
        <w:pStyle w:val="Normal"/>
        <w:rPr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позиция №2 Таблицы 1.1. </w:t>
      </w:r>
      <w:r>
        <w:rPr>
          <w:sz w:val="22"/>
          <w:szCs w:val="22"/>
        </w:rPr>
        <w:t>Ограничитель перенапряжения типа ОПНп-110/77/10/2 УХЛ1</w:t>
      </w:r>
    </w:p>
    <w:p>
      <w:pPr>
        <w:pStyle w:val="Normal"/>
        <w:rPr>
          <w:rFonts w:eastAsia="" w:eastAsiaTheme="majorEastAsia"/>
          <w:b/>
          <w:bCs/>
          <w:sz w:val="22"/>
          <w:szCs w:val="22"/>
        </w:rPr>
      </w:pPr>
      <w:r>
        <w:rPr>
          <w:rFonts w:eastAsia="" w:eastAsiaTheme="majorEastAsia"/>
          <w:b/>
          <w:bCs/>
          <w:sz w:val="22"/>
          <w:szCs w:val="22"/>
        </w:rPr>
        <w:t>Приложение №3 к ТТ.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Таблица 3. Требования к продукции 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>Наименование продукции:</w:t>
      </w:r>
    </w:p>
    <w:p>
      <w:pPr>
        <w:pStyle w:val="Normal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  <w:t xml:space="preserve">позиция №3 Таблицы 1.1. </w:t>
      </w:r>
      <w:r>
        <w:rPr>
          <w:sz w:val="22"/>
          <w:szCs w:val="22"/>
        </w:rPr>
        <w:t>Ограничитель перенапряжения типа ОПНп-330/1450/220-20-III-УХЛ1</w:t>
      </w:r>
    </w:p>
    <w:p>
      <w:pPr>
        <w:pStyle w:val="Normal"/>
        <w:widowControl w:val="false"/>
        <w:spacing w:lineRule="atLeast" w:line="0"/>
        <w:rPr>
          <w:rFonts w:eastAsia="" w:eastAsiaTheme="majorEastAsia"/>
          <w:sz w:val="22"/>
          <w:szCs w:val="22"/>
        </w:rPr>
      </w:pPr>
      <w:r>
        <w:rPr>
          <w:rFonts w:eastAsia="" w:eastAsiaTheme="majorEastAsia"/>
          <w:sz w:val="22"/>
          <w:szCs w:val="22"/>
        </w:rPr>
      </w:r>
    </w:p>
    <w:p>
      <w:pPr>
        <w:pStyle w:val="Heading4"/>
        <w:spacing w:lineRule="atLeast" w:line="0" w:before="0" w:after="0"/>
        <w:rPr>
          <w:rFonts w:ascii="Times New Roman" w:hAnsi="Times New Roman" w:cs="Times New Roman"/>
          <w:i w:val="false"/>
          <w:i w:val="false"/>
          <w:iCs w:val="false"/>
          <w:color w:val="auto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color w:val="auto"/>
          <w:sz w:val="22"/>
          <w:szCs w:val="22"/>
        </w:rPr>
        <w:t xml:space="preserve">        </w:t>
      </w:r>
      <w:bookmarkStart w:id="32" w:name="_Toc232714255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 xml:space="preserve">3. </w:t>
      </w:r>
      <w:bookmarkStart w:id="33" w:name="_Toc179202000_Копия_1"/>
      <w:bookmarkStart w:id="34" w:name="_Hlk156722462_Копия_1"/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</w:rPr>
        <w:t>Требования к документации по ценообразованию на этапе закупки.</w:t>
      </w:r>
      <w:bookmarkEnd w:id="32"/>
      <w:bookmarkEnd w:id="33"/>
      <w:bookmarkEnd w:id="34"/>
    </w:p>
    <w:p>
      <w:pPr>
        <w:pStyle w:val="Normal"/>
        <w:spacing w:lineRule="atLeast" w: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В обоснование стоимости своей заявки Участник предоставляет: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 xml:space="preserve">- Коммерческое предложение </w:t>
      </w:r>
      <w:r>
        <w:rPr>
          <w:bCs/>
          <w:iCs/>
          <w:sz w:val="22"/>
          <w:szCs w:val="22"/>
          <w:lang w:eastAsia="x-none"/>
        </w:rPr>
        <w:t xml:space="preserve">по форме </w:t>
      </w:r>
      <w:bookmarkStart w:id="35" w:name="_Hlk88325985"/>
      <w:r>
        <w:rPr>
          <w:bCs/>
          <w:iCs/>
          <w:sz w:val="22"/>
          <w:szCs w:val="22"/>
          <w:lang w:eastAsia="x-none"/>
        </w:rPr>
        <w:t>(с учетом прилагаемой к ней инструкции по заполнению)</w:t>
      </w:r>
      <w:bookmarkEnd w:id="35"/>
      <w:r>
        <w:rPr>
          <w:bCs/>
          <w:iCs/>
          <w:sz w:val="22"/>
          <w:szCs w:val="22"/>
          <w:lang w:eastAsia="x-none"/>
        </w:rPr>
        <w:t>, приведенной в Документации о закупке.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0" w:leader="none"/>
          <w:tab w:val="left" w:pos="900" w:leader="none"/>
        </w:tabs>
        <w:suppressAutoHyphens w:val="true"/>
        <w:bidi w:val="0"/>
        <w:spacing w:lineRule="atLeast" w:line="0" w:before="0" w:after="0"/>
        <w:ind w:left="57" w:right="0" w:hanging="0"/>
        <w:jc w:val="both"/>
        <w:rPr/>
      </w:pPr>
      <w:r>
        <w:rPr>
          <w:bCs/>
          <w:sz w:val="22"/>
          <w:szCs w:val="22"/>
          <w:lang w:eastAsia="x-none"/>
        </w:rPr>
        <w:t>- Спецификацию поставляемого оборудования.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r>
        <w:rPr>
          <w:bCs/>
          <w:sz w:val="22"/>
          <w:szCs w:val="22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пошлины, и прочие затраты, и расходы поставщика, связанные с поставкой товара, предусмотренные Проектом договора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51" w:leader="none"/>
        </w:tabs>
        <w:spacing w:lineRule="atLeast" w:line="0"/>
        <w:ind w:left="0" w:firstLine="426"/>
        <w:jc w:val="both"/>
        <w:rPr>
          <w:sz w:val="22"/>
          <w:szCs w:val="22"/>
        </w:rPr>
      </w:pPr>
      <w:bookmarkStart w:id="36" w:name="_Hlk88327292_Копия_1"/>
      <w:r>
        <w:rPr>
          <w:bCs/>
          <w:sz w:val="22"/>
          <w:szCs w:val="22"/>
          <w:lang w:eastAsia="x-none"/>
        </w:rPr>
        <w:t>Дополнительные документы по ценообразованию</w:t>
      </w:r>
      <w:bookmarkEnd w:id="36"/>
      <w:r>
        <w:rPr>
          <w:bCs/>
          <w:sz w:val="22"/>
          <w:szCs w:val="22"/>
          <w:lang w:eastAsia="x-none"/>
        </w:rPr>
        <w:t xml:space="preserve"> в состав заявки не включаются.</w:t>
      </w:r>
    </w:p>
    <w:p>
      <w:pPr>
        <w:pStyle w:val="2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3.2.2.</w:t>
      </w:r>
      <w:bookmarkStart w:id="37" w:name="_Toc141972717"/>
      <w:r>
        <w:rPr>
          <w:sz w:val="22"/>
          <w:szCs w:val="22"/>
        </w:rPr>
        <w:t>Инструкции по заполнению</w:t>
      </w:r>
      <w:bookmarkEnd w:id="37"/>
    </w:p>
    <w:p>
      <w:pPr>
        <w:pStyle w:val="Style14"/>
        <w:numPr>
          <w:ilvl w:val="0"/>
          <w:numId w:val="0"/>
        </w:numPr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Участник указывает свое фирменное наименование (в т.ч. организационно-правовую форму) и свой ИНН.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Все расчеты округляются до двух знаков после запятой. </w:t>
      </w:r>
    </w:p>
    <w:p>
      <w:pPr>
        <w:pStyle w:val="Style14"/>
        <w:numPr>
          <w:ilvl w:val="0"/>
          <w:numId w:val="0"/>
        </w:numPr>
        <w:tabs>
          <w:tab w:val="clear" w:pos="1134"/>
        </w:tabs>
        <w:ind w:left="0" w:hanging="0"/>
        <w:rPr>
          <w:rFonts w:ascii="Times New Roman" w:hAnsi="Times New Roman"/>
          <w:sz w:val="22"/>
          <w:szCs w:val="22"/>
        </w:rPr>
      </w:pPr>
      <w:r>
        <w:rPr>
          <w:bCs/>
          <w:sz w:val="22"/>
          <w:szCs w:val="22"/>
          <w:lang w:eastAsia="x-none"/>
        </w:rPr>
        <w:t>Данная форма должна быть в обязательном порядке представлена в формате, доступном для редактирования (</w:t>
      </w:r>
      <w:r>
        <w:rPr>
          <w:bCs/>
          <w:sz w:val="22"/>
          <w:szCs w:val="22"/>
          <w:lang w:val="en-US" w:eastAsia="x-none"/>
        </w:rPr>
        <w:t>MicrosoftExcelSheet</w:t>
      </w:r>
      <w:r>
        <w:rPr>
          <w:bCs/>
          <w:sz w:val="22"/>
          <w:szCs w:val="22"/>
          <w:lang w:eastAsia="x-none"/>
        </w:rPr>
        <w:t xml:space="preserve"> (*.</w:t>
      </w:r>
      <w:r>
        <w:rPr>
          <w:bCs/>
          <w:sz w:val="22"/>
          <w:szCs w:val="22"/>
          <w:lang w:val="en-US" w:eastAsia="x-none"/>
        </w:rPr>
        <w:t>xls</w:t>
      </w:r>
      <w:r>
        <w:rPr>
          <w:bCs/>
          <w:sz w:val="22"/>
          <w:szCs w:val="22"/>
          <w:lang w:eastAsia="x-none"/>
        </w:rPr>
        <w:t>)).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454" w:right="0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/>
      </w:r>
    </w:p>
    <w:p>
      <w:pPr>
        <w:pStyle w:val="Normal"/>
        <w:keepNext w:val="true"/>
        <w:pageBreakBefore w:val="false"/>
        <w:widowControl/>
        <w:numPr>
          <w:ilvl w:val="0"/>
          <w:numId w:val="0"/>
        </w:numPr>
        <w:suppressAutoHyphens w:val="true"/>
        <w:bidi w:val="0"/>
        <w:spacing w:before="240" w:after="120"/>
        <w:ind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.1. </w:t>
      </w:r>
      <w:bookmarkStart w:id="38" w:name="_Toc141972716"/>
      <w:bookmarkStart w:id="39" w:name="_Ref511135236"/>
      <w:r>
        <w:rPr>
          <w:sz w:val="22"/>
          <w:szCs w:val="22"/>
        </w:rPr>
        <w:t xml:space="preserve">Форма </w:t>
      </w:r>
      <w:bookmarkEnd w:id="39"/>
      <w:r>
        <w:rPr>
          <w:sz w:val="22"/>
          <w:szCs w:val="22"/>
        </w:rPr>
        <w:t>Коммерческого предложения</w:t>
      </w:r>
      <w:bookmarkEnd w:id="38"/>
    </w:p>
    <w:p>
      <w:pPr>
        <w:pStyle w:val="Normal"/>
        <w:keepNext w:val="true"/>
        <w:numPr>
          <w:ilvl w:val="0"/>
          <w:numId w:val="0"/>
        </w:numPr>
        <w:pBdr>
          <w:top w:val="single" w:sz="4" w:space="1" w:color="000000"/>
        </w:pBdr>
        <w:shd w:val="clear" w:color="auto" w:fill="D9D9D9" w:themeFill="background1" w:themeFillShade="d9"/>
        <w:spacing w:before="0" w:after="120"/>
        <w:ind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eastAsiaTheme="minorHAnsi"/>
          <w:sz w:val="22"/>
          <w:szCs w:val="22"/>
          <w:lang w:eastAsia="en-US"/>
        </w:rPr>
        <w:t>начало формы</w:t>
      </w:r>
    </w:p>
    <w:p>
      <w:pPr>
        <w:pStyle w:val="Normal"/>
        <w:numPr>
          <w:ilvl w:val="0"/>
          <w:numId w:val="0"/>
        </w:numPr>
        <w:ind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от «____» _____________ г. №__________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/>
        <w:jc w:val="center"/>
        <w:rPr>
          <w:rFonts w:ascii="Times New Roman" w:hAnsi="Times New Roman"/>
          <w:sz w:val="22"/>
          <w:szCs w:val="22"/>
        </w:rPr>
      </w:pPr>
      <w:r>
        <w:rPr>
          <w:b/>
          <w:caps/>
          <w:spacing w:val="20"/>
          <w:sz w:val="22"/>
          <w:szCs w:val="22"/>
        </w:rPr>
        <w:t>Коммерческое предложение</w:t>
      </w:r>
    </w:p>
    <w:p>
      <w:pPr>
        <w:pStyle w:val="Normal"/>
        <w:numPr>
          <w:ilvl w:val="0"/>
          <w:numId w:val="0"/>
        </w:numPr>
        <w:spacing w:before="0" w:after="120"/>
        <w:ind w:hanging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Наименование и ИНН Участника: _________________________________</w:t>
      </w:r>
    </w:p>
    <w:p>
      <w:pPr>
        <w:pStyle w:val="Normal"/>
        <w:numPr>
          <w:ilvl w:val="0"/>
          <w:numId w:val="0"/>
        </w:numPr>
        <w:ind w:hanging="0"/>
        <w:rPr/>
      </w:pPr>
      <w:r>
        <w:rPr>
          <w:i/>
          <w:sz w:val="22"/>
          <w:szCs w:val="22"/>
          <w:highlight w:val="lightGray"/>
          <w:shd w:fill="BFBFBF" w:val="clear"/>
        </w:rPr>
        <w:t>[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Здесь Участник приводит свое Коммерческое предложение вместе </w:t>
      </w:r>
      <w:r>
        <w:rPr>
          <w:rStyle w:val="Style8"/>
          <w:b w:val="false"/>
          <w:sz w:val="22"/>
          <w:szCs w:val="22"/>
          <w:highlight w:val="lightGray"/>
          <w:u w:val="single"/>
          <w:shd w:fill="BFBFBF" w:val="clear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Style8"/>
          <w:b w:val="false"/>
          <w:sz w:val="22"/>
          <w:szCs w:val="22"/>
          <w:highlight w:val="lightGray"/>
          <w:shd w:fill="BFBFBF" w:val="clear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sz w:val="22"/>
          <w:szCs w:val="22"/>
          <w:highlight w:val="lightGray"/>
          <w:shd w:fill="BFBFBF" w:val="clear"/>
        </w:rPr>
        <w:t>]</w:t>
      </w:r>
      <w:r>
        <w:rPr>
          <w:i/>
          <w:sz w:val="22"/>
          <w:szCs w:val="22"/>
          <w:highlight w:val="lightGray"/>
        </w:rPr>
        <w:t xml:space="preserve"> </w:t>
      </w:r>
    </w:p>
    <w:p>
      <w:pPr>
        <w:pStyle w:val="Normal"/>
        <w:numPr>
          <w:ilvl w:val="0"/>
          <w:numId w:val="0"/>
        </w:numPr>
        <w:ind w:left="108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tbl>
      <w:tblPr>
        <w:tblW w:w="10596" w:type="dxa"/>
        <w:jc w:val="left"/>
        <w:tblInd w:w="-6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1290"/>
        <w:gridCol w:w="15"/>
        <w:gridCol w:w="1410"/>
        <w:gridCol w:w="1530"/>
        <w:gridCol w:w="510"/>
        <w:gridCol w:w="1365"/>
        <w:gridCol w:w="1476"/>
        <w:gridCol w:w="729"/>
        <w:gridCol w:w="1530"/>
        <w:gridCol w:w="2386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предлагаемой продукции (товары, работы, услуги)</w:t>
              <w:br/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Страна происхождения товара </w:t>
              <w:b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Производитель продукции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НМЦ единицы продукции (руб. без НДС)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Предлагаемая цена одной единицы </w:t>
            </w:r>
            <w:r>
              <w:rPr>
                <w:sz w:val="20"/>
                <w:szCs w:val="20"/>
              </w:rPr>
              <w:t>продукции</w:t>
            </w:r>
            <w:r>
              <w:rPr>
                <w:rFonts w:eastAsia="Calibri"/>
                <w:sz w:val="20"/>
                <w:szCs w:val="20"/>
                <w:lang w:eastAsia="en-US"/>
              </w:rPr>
              <w:t>, руб. без НДС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-105" w:right="-8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стоимость позиции</w:t>
              <w:br/>
              <w:t>(руб. без НДС)</w:t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1191" w:right="-17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238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tcW w:w="7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ИТОГО без НДС: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7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Кроме того, НДС (__%):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70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ИТОГО с НДС: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1080" w:hanging="0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34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i/>
          <w:sz w:val="22"/>
          <w:szCs w:val="22"/>
          <w:highlight w:val="lightGray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>
      <w:pPr>
        <w:pStyle w:val="Normal"/>
        <w:numPr>
          <w:ilvl w:val="0"/>
          <w:numId w:val="0"/>
        </w:numPr>
        <w:ind w:hanging="0"/>
        <w:rPr>
          <w:sz w:val="22"/>
          <w:szCs w:val="22"/>
        </w:rPr>
      </w:pPr>
      <w:r>
        <w:rPr>
          <w:i/>
          <w:sz w:val="22"/>
          <w:szCs w:val="22"/>
          <w:highlight w:val="lightGray"/>
        </w:rPr>
        <w:t>В случае неуказания Участником в данной форме Страны происхождения товара и Производителя продукции и невозможности определения 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__________________</w:t>
      </w:r>
    </w:p>
    <w:p>
      <w:pPr>
        <w:pStyle w:val="Normal"/>
        <w:numPr>
          <w:ilvl w:val="0"/>
          <w:numId w:val="0"/>
        </w:numPr>
        <w:ind w:left="0" w:right="3684" w:hanging="0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>
      <w:pPr>
        <w:pStyle w:val="Normal"/>
        <w:numPr>
          <w:ilvl w:val="0"/>
          <w:numId w:val="0"/>
        </w:numPr>
        <w:pBdr>
          <w:bottom w:val="single" w:sz="4" w:space="1" w:color="000000"/>
        </w:pBdr>
        <w:shd w:val="clear" w:color="auto" w:fill="D9D9D9" w:themeFill="background1" w:themeFillShade="d9"/>
        <w:spacing w:before="0" w:after="120"/>
        <w:ind w:left="1080" w:hanging="0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конец формы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x-none"/>
        </w:rPr>
        <w:t>4. Приложения: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4.1.</w:t>
      </w:r>
      <w:r>
        <w:rPr>
          <w:rFonts w:eastAsia="" w:eastAsiaTheme="majorEastAsia"/>
          <w:b w:val="false"/>
          <w:bCs w:val="false"/>
          <w:sz w:val="22"/>
          <w:szCs w:val="22"/>
        </w:rPr>
        <w:t>Приложение №1 к ТТ.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 xml:space="preserve">Таблица 3. Требования к продукции. </w:t>
      </w:r>
      <w:r>
        <w:rPr>
          <w:b w:val="false"/>
          <w:bCs w:val="false"/>
          <w:sz w:val="22"/>
          <w:szCs w:val="22"/>
        </w:rPr>
        <w:t>Ограничитель перенапряжения типа ОПНп-35/680/40,5-10-III-УХЛ1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4.2.</w:t>
      </w:r>
      <w:r>
        <w:rPr>
          <w:rFonts w:eastAsia="" w:eastAsiaTheme="majorEastAsia"/>
          <w:b w:val="false"/>
          <w:bCs w:val="false"/>
          <w:sz w:val="22"/>
          <w:szCs w:val="22"/>
        </w:rPr>
        <w:t>Приложение №2 к ТТ.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 xml:space="preserve">Таблица 3. Требования к продукции. Таблицы 1.1. </w:t>
      </w:r>
      <w:r>
        <w:rPr>
          <w:b w:val="false"/>
          <w:bCs w:val="false"/>
          <w:sz w:val="22"/>
          <w:szCs w:val="22"/>
        </w:rPr>
        <w:t>Ограничитель перенапряжения типа ОПНп-110/77/10/2 УХЛ1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4.3.</w:t>
      </w:r>
      <w:r>
        <w:rPr>
          <w:rFonts w:eastAsia="" w:eastAsiaTheme="majorEastAsia"/>
          <w:b w:val="false"/>
          <w:bCs w:val="false"/>
          <w:sz w:val="22"/>
          <w:szCs w:val="22"/>
        </w:rPr>
        <w:t>Приложение №3 к ТТ.</w:t>
      </w:r>
    </w:p>
    <w:p>
      <w:pPr>
        <w:pStyle w:val="Normal"/>
        <w:rPr>
          <w:b w:val="false"/>
          <w:bCs w:val="false"/>
        </w:rPr>
      </w:pPr>
      <w:r>
        <w:rPr>
          <w:rFonts w:eastAsia="" w:eastAsiaTheme="majorEastAsia"/>
          <w:b w:val="false"/>
          <w:bCs w:val="false"/>
          <w:sz w:val="22"/>
          <w:szCs w:val="22"/>
        </w:rPr>
        <w:t>Таблица 3. Требования к продукции</w:t>
      </w:r>
      <w:r>
        <w:rPr>
          <w:rFonts w:eastAsia="" w:eastAsiaTheme="majorEastAsia"/>
          <w:b w:val="false"/>
          <w:bCs w:val="false"/>
          <w:sz w:val="22"/>
          <w:szCs w:val="22"/>
          <w:lang w:eastAsia="x-none"/>
        </w:rPr>
        <w:t xml:space="preserve">. </w:t>
      </w:r>
      <w:r>
        <w:rPr>
          <w:b w:val="false"/>
          <w:bCs w:val="false"/>
          <w:sz w:val="22"/>
          <w:szCs w:val="22"/>
          <w:lang w:eastAsia="x-none"/>
        </w:rPr>
        <w:t>Ограничитель перенапряжения типа ОПНп-330/1450/220-20-III-УХЛ1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851" w:leader="none"/>
        </w:tabs>
        <w:suppressAutoHyphens w:val="true"/>
        <w:bidi w:val="0"/>
        <w:spacing w:lineRule="atLeast" w:line="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eastAsiaTheme="minorHAnsi"/>
          <w:b w:val="false"/>
          <w:bCs w:val="false"/>
          <w:sz w:val="22"/>
          <w:szCs w:val="22"/>
          <w:lang w:eastAsia="x-none"/>
        </w:rPr>
        <w:t>4.</w:t>
      </w:r>
      <w:r>
        <w:rPr>
          <w:rFonts w:eastAsia="Calibri" w:eastAsiaTheme="minorHAnsi"/>
          <w:b w:val="false"/>
          <w:bCs w:val="false"/>
          <w:sz w:val="22"/>
          <w:szCs w:val="22"/>
          <w:lang w:eastAsia="x-none"/>
        </w:rPr>
        <w:t>4</w:t>
      </w:r>
      <w:r>
        <w:rPr>
          <w:rFonts w:eastAsia="Calibri" w:eastAsiaTheme="minorHAnsi"/>
          <w:b w:val="false"/>
          <w:bCs w:val="false"/>
          <w:sz w:val="22"/>
          <w:szCs w:val="22"/>
          <w:lang w:eastAsia="x-none"/>
        </w:rPr>
        <w:t>. Приложение №</w:t>
      </w:r>
      <w:r>
        <w:rPr>
          <w:rFonts w:eastAsia="Calibri" w:eastAsiaTheme="minorHAnsi"/>
          <w:b w:val="false"/>
          <w:bCs w:val="false"/>
          <w:sz w:val="22"/>
          <w:szCs w:val="22"/>
          <w:lang w:eastAsia="x-none"/>
        </w:rPr>
        <w:t>4</w:t>
      </w:r>
      <w:r>
        <w:rPr>
          <w:rFonts w:eastAsia="Calibri" w:eastAsiaTheme="minorHAnsi"/>
          <w:b w:val="false"/>
          <w:bCs w:val="false"/>
          <w:sz w:val="22"/>
          <w:szCs w:val="22"/>
          <w:lang w:eastAsia="x-none"/>
        </w:rPr>
        <w:t>. Спецификация поставляемого оборудования.</w:t>
      </w:r>
      <w:r>
        <w:br w:type="page"/>
      </w:r>
    </w:p>
    <w:p>
      <w:pPr>
        <w:pStyle w:val="2"/>
        <w:numPr>
          <w:ilvl w:val="0"/>
          <w:numId w:val="0"/>
        </w:numPr>
        <w:spacing w:before="240" w:after="120"/>
        <w:ind w:left="0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14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218309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57270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4b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4b2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44b2c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b50a2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qFormat/>
    <w:rsid w:val="00844b2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844b2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44b2c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844b2c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Hyperlink">
    <w:name w:val="Hyperlink"/>
    <w:uiPriority w:val="99"/>
    <w:rsid w:val="00844b2c"/>
    <w:rPr>
      <w:color w:val="0000FF"/>
      <w:u w:val="single"/>
    </w:rPr>
  </w:style>
  <w:style w:type="character" w:styleId="Style5" w:customStyle="1">
    <w:name w:val="Ссылка указателя"/>
    <w:qFormat/>
    <w:rsid w:val="00844b2c"/>
    <w:rPr/>
  </w:style>
  <w:style w:type="character" w:styleId="Strong">
    <w:name w:val="Strong"/>
    <w:qFormat/>
    <w:rsid w:val="00844b2c"/>
    <w:rPr>
      <w:b/>
      <w:bCs/>
    </w:rPr>
  </w:style>
  <w:style w:type="character" w:styleId="4" w:customStyle="1">
    <w:name w:val="Заголовок 4 Знак"/>
    <w:basedOn w:val="DefaultParagraphFont"/>
    <w:uiPriority w:val="9"/>
    <w:qFormat/>
    <w:rsid w:val="009b50a2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  <w:sz w:val="28"/>
      <w:szCs w:val="28"/>
      <w:lang w:eastAsia="ru-RU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c6106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8">
    <w:name w:val="комментарий"/>
    <w:qFormat/>
    <w:rPr>
      <w:b/>
      <w:i/>
      <w:shd w:fill="FFFF99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paragraph" w:styleId="Style11" w:customStyle="1">
    <w:name w:val="Таблица шапка"/>
    <w:basedOn w:val="Normal"/>
    <w:qFormat/>
    <w:rsid w:val="00844b2c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2" w:customStyle="1">
    <w:name w:val="[РГ] Текст"/>
    <w:basedOn w:val="Normal"/>
    <w:qFormat/>
    <w:rsid w:val="00844b2c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44b2c"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autoRedefine/>
    <w:uiPriority w:val="39"/>
    <w:unhideWhenUsed/>
    <w:rsid w:val="00844b2c"/>
    <w:pPr>
      <w:tabs>
        <w:tab w:val="clear" w:pos="708"/>
        <w:tab w:val="left" w:pos="284" w:leader="none"/>
        <w:tab w:val="right" w:pos="9345" w:leader="dot"/>
      </w:tabs>
      <w:spacing w:before="0" w:after="100"/>
    </w:pPr>
    <w:rPr/>
  </w:style>
  <w:style w:type="paragraph" w:styleId="TOC1">
    <w:name w:val="TOC 1"/>
    <w:basedOn w:val="Normal"/>
    <w:next w:val="Normal"/>
    <w:autoRedefine/>
    <w:uiPriority w:val="39"/>
    <w:unhideWhenUsed/>
    <w:rsid w:val="00844b2c"/>
    <w:pPr>
      <w:spacing w:before="0" w:after="1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844b2c"/>
    <w:pPr>
      <w:spacing w:before="0" w:after="100"/>
      <w:ind w:left="560" w:hanging="0"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c610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c6106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paragraph" w:styleId="Style14">
    <w:name w:val="Подпункт"/>
    <w:basedOn w:val="Normal"/>
    <w:qFormat/>
    <w:pPr>
      <w:tabs>
        <w:tab w:val="clear" w:pos="708"/>
        <w:tab w:val="left" w:pos="1134" w:leader="none"/>
      </w:tabs>
      <w:suppressAutoHyphens w:val="false"/>
      <w:spacing w:before="120" w:after="0"/>
      <w:ind w:left="1134" w:hanging="1134"/>
      <w:jc w:val="both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ABDE-B669-4EF5-8074-4517C8FE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AlterOffice/2025.3.1.0$Linux_X86_64 LibreOffice_project/431cd1b79110582f53535c95ed0a2449aadc8bf9</Application>
  <AppVersion>15.0000</AppVersion>
  <Pages>7</Pages>
  <Words>1524</Words>
  <Characters>10848</Characters>
  <CharactersWithSpaces>12406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2026-06-18T19:04:00Z</dcterms:created>
  <dc:creator>2023</dc:creator>
  <dc:description/>
  <dc:language>ru-RU</dc:language>
  <cp:lastModifiedBy>arsoevvv@corp.gidroogk.com</cp:lastModifiedBy>
  <dcterms:modified xsi:type="dcterms:W3CDTF">2026-06-19T08:43:15Z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