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65"/>
        <w:tblW w:w="4823" w:type="dxa"/>
        <w:jc w:val="right"/>
        <w:tblLayout w:type="fixed"/>
        <w:tblLook w:val="01E0" w:firstRow="1" w:lastRow="1" w:firstColumn="1" w:lastColumn="1" w:noHBand="0" w:noVBand="0"/>
      </w:tblPr>
      <w:tblGrid>
        <w:gridCol w:w="4823"/>
      </w:tblGrid>
      <w:tr w:rsidR="00B0687D">
        <w:trPr>
          <w:trHeight w:val="323"/>
          <w:jc w:val="right"/>
        </w:trPr>
        <w:tc>
          <w:tcPr>
            <w:tcW w:w="4823" w:type="dxa"/>
            <w:vAlign w:val="center"/>
          </w:tcPr>
          <w:p w:rsidR="00B0687D" w:rsidRDefault="00B0687D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B0687D">
        <w:trPr>
          <w:trHeight w:val="60"/>
          <w:jc w:val="right"/>
        </w:trPr>
        <w:tc>
          <w:tcPr>
            <w:tcW w:w="4823" w:type="dxa"/>
            <w:vAlign w:val="center"/>
          </w:tcPr>
          <w:p w:rsidR="00B0687D" w:rsidRDefault="00B0687D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B0687D">
        <w:trPr>
          <w:trHeight w:val="323"/>
          <w:jc w:val="right"/>
        </w:trPr>
        <w:tc>
          <w:tcPr>
            <w:tcW w:w="4823" w:type="dxa"/>
            <w:vAlign w:val="center"/>
          </w:tcPr>
          <w:p w:rsidR="00B0687D" w:rsidRDefault="00B0687D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B0687D" w:rsidRDefault="00B0687D">
      <w:pPr>
        <w:keepNext/>
        <w:keepLines/>
        <w:jc w:val="right"/>
        <w:rPr>
          <w:b/>
          <w:sz w:val="24"/>
          <w:szCs w:val="24"/>
          <w:lang w:val="en-US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b/>
          <w:sz w:val="24"/>
          <w:szCs w:val="24"/>
        </w:rPr>
      </w:pPr>
    </w:p>
    <w:p w:rsidR="00B0687D" w:rsidRDefault="00B0687D">
      <w:pPr>
        <w:keepNext/>
        <w:keepLines/>
        <w:rPr>
          <w:sz w:val="26"/>
          <w:szCs w:val="26"/>
        </w:rPr>
      </w:pPr>
    </w:p>
    <w:p w:rsidR="00B0687D" w:rsidRDefault="00B0687D">
      <w:pPr>
        <w:keepNext/>
        <w:keepLines/>
        <w:rPr>
          <w:color w:val="000000" w:themeColor="text1"/>
          <w:sz w:val="26"/>
          <w:szCs w:val="26"/>
        </w:rPr>
      </w:pPr>
    </w:p>
    <w:p w:rsidR="00B0687D" w:rsidRDefault="00B0687D">
      <w:pPr>
        <w:keepNext/>
        <w:keepLines/>
        <w:rPr>
          <w:color w:val="000000" w:themeColor="text1"/>
          <w:sz w:val="26"/>
          <w:szCs w:val="26"/>
        </w:rPr>
      </w:pPr>
    </w:p>
    <w:p w:rsidR="00B0687D" w:rsidRDefault="00B0687D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B0687D" w:rsidRDefault="00B0687D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B0687D" w:rsidRDefault="00B0687D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B0687D" w:rsidRDefault="00B0687D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B0687D" w:rsidRDefault="00B0687D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B0687D" w:rsidRDefault="00CD4237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Технические требования на поставку МТР</w:t>
      </w:r>
    </w:p>
    <w:p w:rsidR="00B0687D" w:rsidRDefault="00CD4237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27.12.10.190 Поставка ограничителя перенапряжения нелинейного </w:t>
      </w:r>
      <w:r>
        <w:rPr>
          <w:rFonts w:eastAsia="Calibri"/>
          <w:b/>
          <w:color w:val="000000" w:themeColor="text1"/>
          <w:sz w:val="24"/>
          <w:szCs w:val="24"/>
        </w:rPr>
        <w:t>для пополнения аварийного запаса</w:t>
      </w:r>
      <w:r w:rsidRPr="00CD4237"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 xml:space="preserve"> для нужд филиала ПАО «РусГидро» - «Воткинская ГЭС»</w:t>
      </w: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spacing w:before="12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B0687D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B0687D" w:rsidRDefault="00CD4237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6"/>
          <w:szCs w:val="26"/>
        </w:rPr>
        <w:t>СОДЕРЖАНИЕ</w:t>
      </w:r>
    </w:p>
    <w:sdt>
      <w:sdtPr>
        <w:id w:val="-1625917185"/>
        <w:docPartObj>
          <w:docPartGallery w:val="Table of Contents"/>
          <w:docPartUnique/>
        </w:docPartObj>
      </w:sdtPr>
      <w:sdtEndPr/>
      <w:sdtContent>
        <w:p w:rsidR="00B0687D" w:rsidRDefault="00CD4237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"1-3"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32685641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42">
            <w:r>
              <w:rPr>
                <w:rStyle w:val="affc"/>
                <w:rFonts w:eastAsia="Calibri"/>
                <w:webHidden/>
              </w:rPr>
              <w:t>1.2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43">
            <w:r>
              <w:rPr>
                <w:rStyle w:val="affc"/>
                <w:rFonts w:eastAsia="Calibri"/>
                <w:webHidden/>
              </w:rPr>
              <w:t>1.3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44">
            <w:r>
              <w:rPr>
                <w:rStyle w:val="affc"/>
                <w:rFonts w:eastAsia="Calibri"/>
                <w:webHidden/>
              </w:rPr>
              <w:t>1.4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45">
            <w:r>
              <w:rPr>
                <w:rStyle w:val="affc"/>
                <w:rFonts w:eastAsia="Calibri"/>
                <w:webHidden/>
              </w:rPr>
              <w:t>2.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left" w:pos="84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46">
            <w:r>
              <w:rPr>
                <w:rStyle w:val="affc"/>
                <w:rFonts w:eastAsia="Calibri"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</w:t>
            </w:r>
            <w:r>
              <w:rPr>
                <w:rStyle w:val="affc"/>
                <w:rFonts w:eastAsia="Calibri"/>
              </w:rPr>
              <w:t>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38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685647">
            <w:r>
              <w:rPr>
                <w:rStyle w:val="affc"/>
                <w:rFonts w:eastAsia="Calibri"/>
                <w:webHidden/>
              </w:rPr>
              <w:t>2.1.1. 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38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685648">
            <w:r>
              <w:rPr>
                <w:rStyle w:val="affc"/>
                <w:rFonts w:eastAsia="Calibri"/>
                <w:webHidden/>
              </w:rPr>
              <w:t>2.1.2.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left" w:pos="84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49">
            <w:r>
              <w:rPr>
                <w:rStyle w:val="affc"/>
                <w:rFonts w:eastAsia="Calibri"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_Toc232685649 \</w:instrText>
            </w:r>
            <w:r>
              <w:rPr>
                <w:webHidden/>
              </w:rPr>
              <w:instrText>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0687D" w:rsidRDefault="00CD4237">
          <w:pPr>
            <w:pStyle w:val="17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5650">
            <w:r>
              <w:rPr>
                <w:rStyle w:val="affc"/>
                <w:rFonts w:eastAsia="Calibri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_Toc232685650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B0687D" w:rsidRDefault="00B0687D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sz w:val="22"/>
          <w:szCs w:val="22"/>
        </w:rPr>
      </w:pPr>
    </w:p>
    <w:p w:rsidR="00B0687D" w:rsidRDefault="00B0687D"/>
    <w:p w:rsidR="00B0687D" w:rsidRDefault="00B0687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B0687D" w:rsidRDefault="00B0687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B0687D" w:rsidRDefault="00CD423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0687D" w:rsidRDefault="00CD4237">
      <w:pPr>
        <w:pStyle w:val="1"/>
        <w:numPr>
          <w:ilvl w:val="3"/>
          <w:numId w:val="4"/>
        </w:numPr>
      </w:pPr>
      <w:bookmarkStart w:id="0" w:name="_Toc232685641"/>
      <w:r>
        <w:lastRenderedPageBreak/>
        <w:t>Общие сведения</w:t>
      </w:r>
      <w:bookmarkEnd w:id="0"/>
    </w:p>
    <w:p w:rsidR="00B0687D" w:rsidRDefault="00CD4237">
      <w:pPr>
        <w:pStyle w:val="21"/>
      </w:pPr>
      <w:bookmarkStart w:id="1" w:name="_Toc232685642"/>
      <w:r>
        <w:t>Обозначения и сокращения</w:t>
      </w:r>
      <w:bookmarkEnd w:id="1"/>
      <w:r>
        <w:t xml:space="preserve">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1"/>
      </w:tblGrid>
      <w:tr w:rsidR="00B0687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D" w:rsidRDefault="00CD4237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D" w:rsidRDefault="00CD4237">
            <w:pPr>
              <w:widowControl w:val="0"/>
              <w:spacing w:before="60" w:after="60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Т</w:t>
            </w:r>
            <w:r>
              <w:rPr>
                <w:iCs/>
                <w:sz w:val="24"/>
                <w:szCs w:val="24"/>
                <w:lang w:eastAsia="x-none"/>
              </w:rPr>
              <w:t>ехнические требования</w:t>
            </w:r>
            <w:r>
              <w:rPr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B0687D" w:rsidRDefault="00CD4237">
      <w:pPr>
        <w:pStyle w:val="21"/>
      </w:pPr>
      <w:bookmarkStart w:id="2" w:name="_Toc232685643"/>
      <w:bookmarkStart w:id="3" w:name="_Toc75446568"/>
      <w:bookmarkStart w:id="4" w:name="_Toc46743506"/>
      <w:r>
        <w:t>Наименование закупаемой продукции</w:t>
      </w:r>
      <w:bookmarkEnd w:id="2"/>
      <w:bookmarkEnd w:id="3"/>
      <w:bookmarkEnd w:id="4"/>
    </w:p>
    <w:p w:rsidR="00B0687D" w:rsidRDefault="00CD4237">
      <w:pPr>
        <w:spacing w:before="120"/>
        <w:ind w:firstLine="708"/>
        <w:jc w:val="both"/>
      </w:pPr>
      <w:r>
        <w:rPr>
          <w:rFonts w:eastAsia="Calibri"/>
          <w:color w:val="000000" w:themeColor="text1"/>
          <w:sz w:val="24"/>
          <w:szCs w:val="24"/>
        </w:rPr>
        <w:t>ОКПД2 27.12.10.190 Поставка ограничителя перенапряжения нелинейного для пополнения аварийного запаса</w:t>
      </w:r>
      <w:r>
        <w:rPr>
          <w:rFonts w:eastAsia="Calibri"/>
          <w:sz w:val="24"/>
          <w:szCs w:val="24"/>
        </w:rPr>
        <w:t xml:space="preserve"> для </w:t>
      </w:r>
      <w:r>
        <w:rPr>
          <w:rFonts w:eastAsia="Calibri"/>
          <w:bCs/>
          <w:sz w:val="24"/>
          <w:szCs w:val="24"/>
        </w:rPr>
        <w:t xml:space="preserve">нужд филиала ПАО «РусГидро» </w:t>
      </w:r>
      <w:r>
        <w:rPr>
          <w:rFonts w:eastAsia="Calibri"/>
          <w:bCs/>
          <w:sz w:val="24"/>
          <w:szCs w:val="24"/>
        </w:rPr>
        <w:t>- «Воткинская ГЭС».</w:t>
      </w:r>
    </w:p>
    <w:p w:rsidR="00B0687D" w:rsidRDefault="00CD4237">
      <w:pPr>
        <w:pStyle w:val="21"/>
      </w:pPr>
      <w:bookmarkStart w:id="5" w:name="_Toc46743507"/>
      <w:bookmarkStart w:id="6" w:name="_Toc232685644"/>
      <w:bookmarkStart w:id="7" w:name="_Toc75446569"/>
      <w:r>
        <w:t xml:space="preserve">Цель </w:t>
      </w:r>
      <w:bookmarkEnd w:id="5"/>
      <w:r>
        <w:t>использования закупаемой продукции</w:t>
      </w:r>
      <w:bookmarkEnd w:id="6"/>
      <w:r>
        <w:t xml:space="preserve"> </w:t>
      </w:r>
      <w:bookmarkEnd w:id="7"/>
    </w:p>
    <w:p w:rsidR="00B0687D" w:rsidRDefault="00CD4237">
      <w:pPr>
        <w:spacing w:before="6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Минимизация материального ущерба от возможных технологических нарушений на оборудовании за счет сокращения времени обеспечения ограничителем перенапряжения нелинейным для пополнения аварийного за</w:t>
      </w:r>
      <w:r>
        <w:rPr>
          <w:rFonts w:eastAsia="Calibri"/>
          <w:color w:val="000000" w:themeColor="text1"/>
          <w:sz w:val="24"/>
          <w:szCs w:val="24"/>
        </w:rPr>
        <w:t>паса.</w:t>
      </w:r>
    </w:p>
    <w:p w:rsidR="00B0687D" w:rsidRDefault="00CD4237">
      <w:pPr>
        <w:pStyle w:val="1"/>
      </w:pPr>
      <w:bookmarkStart w:id="8" w:name="_Toc46743510"/>
      <w:bookmarkStart w:id="9" w:name="_Toc50125126"/>
      <w:bookmarkStart w:id="10" w:name="_Toc232685645"/>
      <w:bookmarkStart w:id="11" w:name="_Toc75446573"/>
      <w:bookmarkStart w:id="12" w:name="_Toc51339693"/>
      <w:bookmarkEnd w:id="8"/>
      <w:bookmarkEnd w:id="9"/>
      <w:r>
        <w:t>2. Требования к продукции</w:t>
      </w:r>
      <w:bookmarkEnd w:id="10"/>
      <w:bookmarkEnd w:id="11"/>
      <w:bookmarkEnd w:id="12"/>
    </w:p>
    <w:p w:rsidR="00B0687D" w:rsidRDefault="00CD4237">
      <w:pPr>
        <w:pStyle w:val="21"/>
        <w:numPr>
          <w:ilvl w:val="1"/>
          <w:numId w:val="7"/>
        </w:numPr>
        <w:ind w:left="0" w:firstLine="0"/>
      </w:pPr>
      <w:bookmarkStart w:id="13" w:name="_Toc232685646"/>
      <w:bookmarkStart w:id="14" w:name="_Toc75446574"/>
      <w:r>
        <w:t>Требования к объемам и срокам поставки</w:t>
      </w:r>
      <w:bookmarkEnd w:id="13"/>
      <w:bookmarkEnd w:id="14"/>
    </w:p>
    <w:p w:rsidR="00B0687D" w:rsidRDefault="00CD4237">
      <w:pPr>
        <w:pStyle w:val="31"/>
      </w:pPr>
      <w:bookmarkStart w:id="15" w:name="_Toc232685647"/>
      <w:r>
        <w:t>2.1.1. Перечень и объем закупаемой продукции.</w:t>
      </w:r>
      <w:bookmarkEnd w:id="15"/>
    </w:p>
    <w:p w:rsidR="00B0687D" w:rsidRDefault="00CD4237">
      <w:pPr>
        <w:rPr>
          <w:b/>
          <w:sz w:val="24"/>
          <w:szCs w:val="24"/>
        </w:rPr>
      </w:pPr>
      <w:bookmarkStart w:id="16" w:name="_Toc51339695"/>
      <w:bookmarkStart w:id="17" w:name="_Toc75446576"/>
      <w:bookmarkStart w:id="18" w:name="_Toc122705682"/>
      <w:r>
        <w:rPr>
          <w:b/>
          <w:sz w:val="24"/>
          <w:szCs w:val="24"/>
        </w:rPr>
        <w:t xml:space="preserve">Таблица 1. Перечень </w:t>
      </w:r>
      <w:bookmarkEnd w:id="16"/>
      <w:r>
        <w:rPr>
          <w:b/>
          <w:sz w:val="24"/>
          <w:szCs w:val="24"/>
        </w:rPr>
        <w:t>и объем закупаемой продукции</w:t>
      </w:r>
      <w:bookmarkEnd w:id="17"/>
      <w:bookmarkEnd w:id="18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"/>
        <w:gridCol w:w="4114"/>
        <w:gridCol w:w="3119"/>
        <w:gridCol w:w="1134"/>
        <w:gridCol w:w="992"/>
      </w:tblGrid>
      <w:tr w:rsidR="00CD4237" w:rsidTr="00CD423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37" w:rsidRDefault="00CD42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D4237" w:rsidRDefault="00CD42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37" w:rsidRDefault="00CD42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тип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37" w:rsidRDefault="00CD42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237" w:rsidRDefault="00CD423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CD4237" w:rsidTr="00CD423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D4237" w:rsidTr="00CD423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numPr>
                <w:ilvl w:val="0"/>
                <w:numId w:val="6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Ограничитель перенапряжения нелинейный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EXLIM P420-GH550 </w:t>
            </w:r>
            <w:r>
              <w:rPr>
                <w:i/>
                <w:sz w:val="24"/>
                <w:szCs w:val="24"/>
              </w:rPr>
              <w:t>(или эквивалент)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37" w:rsidRDefault="00CD42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0687D" w:rsidRDefault="00CD4237">
      <w:pPr>
        <w:pStyle w:val="31"/>
      </w:pPr>
      <w:bookmarkStart w:id="19" w:name="_Toc50125126_Копия_1"/>
      <w:bookmarkStart w:id="20" w:name="_Hlk50465284"/>
      <w:bookmarkStart w:id="21" w:name="_Toc51339697"/>
      <w:bookmarkStart w:id="22" w:name="_Toc50125127"/>
      <w:bookmarkStart w:id="23" w:name="_Toc232685648"/>
      <w:bookmarkStart w:id="24" w:name="_Toc75446579"/>
      <w:bookmarkEnd w:id="19"/>
      <w:r>
        <w:t xml:space="preserve">2.1.2. Требования по срокам </w:t>
      </w:r>
      <w:bookmarkEnd w:id="20"/>
      <w:bookmarkEnd w:id="21"/>
      <w:bookmarkEnd w:id="22"/>
      <w:r>
        <w:t>поставки продукции</w:t>
      </w:r>
      <w:bookmarkEnd w:id="23"/>
      <w:bookmarkEnd w:id="24"/>
      <w:r>
        <w:t xml:space="preserve"> </w:t>
      </w:r>
    </w:p>
    <w:p w:rsidR="00B0687D" w:rsidRDefault="00CD4237">
      <w:pPr>
        <w:rPr>
          <w:sz w:val="24"/>
          <w:szCs w:val="24"/>
          <w:lang w:eastAsia="x-none"/>
        </w:rPr>
      </w:pPr>
      <w:r>
        <w:rPr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Начало поставки продукции: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>со дня, следующего за днем заключения Договора.</w:t>
      </w:r>
    </w:p>
    <w:p w:rsidR="00B0687D" w:rsidRDefault="00CD4237">
      <w:pPr>
        <w:shd w:val="clear" w:color="auto" w:fill="FFFFFF" w:themeFill="background1"/>
        <w:rPr>
          <w:i/>
          <w:sz w:val="24"/>
          <w:szCs w:val="24"/>
          <w:lang w:eastAsia="x-none"/>
        </w:rPr>
      </w:pPr>
      <w:r>
        <w:t xml:space="preserve">          </w:t>
      </w:r>
      <w:r>
        <w:rPr>
          <w:sz w:val="24"/>
          <w:szCs w:val="24"/>
        </w:rPr>
        <w:t>Окончание поставки продукции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31.12.2026</w:t>
      </w:r>
      <w:r>
        <w:rPr>
          <w:i/>
          <w:sz w:val="24"/>
          <w:szCs w:val="24"/>
          <w:lang w:eastAsia="x-none"/>
        </w:rPr>
        <w:t>.</w:t>
      </w:r>
    </w:p>
    <w:p w:rsidR="00B0687D" w:rsidRDefault="00CD4237">
      <w:pPr>
        <w:rPr>
          <w:sz w:val="24"/>
          <w:szCs w:val="24"/>
          <w:lang w:eastAsia="x-none"/>
        </w:rPr>
        <w:sectPr w:rsidR="00B0687D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 xml:space="preserve">            Поставка продукции осуществляется одной партией в рамках вышеуказанных сроков. </w:t>
      </w:r>
      <w:bookmarkStart w:id="25" w:name="_Toc46743510_Копия_1"/>
    </w:p>
    <w:p w:rsidR="00B0687D" w:rsidRDefault="00CD4237">
      <w:pPr>
        <w:pStyle w:val="21"/>
        <w:numPr>
          <w:ilvl w:val="1"/>
          <w:numId w:val="7"/>
        </w:numPr>
        <w:ind w:left="0" w:firstLine="0"/>
      </w:pPr>
      <w:bookmarkStart w:id="26" w:name="_Toc46743511"/>
      <w:bookmarkStart w:id="27" w:name="_Toc232685649"/>
      <w:bookmarkStart w:id="28" w:name="_Toc75446581"/>
      <w:bookmarkEnd w:id="25"/>
      <w:r>
        <w:lastRenderedPageBreak/>
        <w:t xml:space="preserve">Требования к </w:t>
      </w:r>
      <w:bookmarkEnd w:id="26"/>
      <w:r>
        <w:t>качеству продукции</w:t>
      </w:r>
      <w:bookmarkEnd w:id="27"/>
      <w:bookmarkEnd w:id="28"/>
    </w:p>
    <w:p w:rsidR="00B0687D" w:rsidRDefault="00CD4237">
      <w:pPr>
        <w:rPr>
          <w:rStyle w:val="aff1"/>
          <w:b w:val="0"/>
          <w:i w:val="0"/>
          <w:sz w:val="24"/>
          <w:szCs w:val="24"/>
          <w:shd w:val="clear" w:color="auto" w:fill="auto"/>
        </w:rPr>
      </w:pPr>
      <w:bookmarkStart w:id="29" w:name="_Toc51339698"/>
      <w:bookmarkStart w:id="30" w:name="_Toc50125131"/>
      <w:bookmarkStart w:id="31" w:name="_Toc75446582"/>
      <w:r>
        <w:rPr>
          <w:b/>
          <w:sz w:val="24"/>
          <w:szCs w:val="24"/>
        </w:rPr>
        <w:t>Таблица 2. Требования к продукции</w:t>
      </w:r>
      <w:bookmarkEnd w:id="29"/>
      <w:bookmarkEnd w:id="30"/>
      <w:bookmarkEnd w:id="31"/>
    </w:p>
    <w:tbl>
      <w:tblPr>
        <w:tblStyle w:val="affff6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4817"/>
        <w:gridCol w:w="2269"/>
        <w:gridCol w:w="2269"/>
        <w:gridCol w:w="2126"/>
      </w:tblGrid>
      <w:tr w:rsidR="00B0687D">
        <w:trPr>
          <w:tblHeader/>
        </w:trPr>
        <w:tc>
          <w:tcPr>
            <w:tcW w:w="849" w:type="dxa"/>
            <w:vMerge w:val="restart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7" w:type="dxa"/>
            <w:vMerge w:val="restart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38" w:type="dxa"/>
            <w:gridSpan w:val="2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B0687D" w:rsidRDefault="00CD4237">
            <w:pPr>
              <w:widowControl w:val="0"/>
              <w:ind w:left="-114" w:right="-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0687D">
        <w:trPr>
          <w:tblHeader/>
        </w:trPr>
        <w:tc>
          <w:tcPr>
            <w:tcW w:w="849" w:type="dxa"/>
            <w:vMerge/>
            <w:vAlign w:val="center"/>
          </w:tcPr>
          <w:p w:rsidR="00B0687D" w:rsidRDefault="00B0687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B0687D" w:rsidRDefault="00B0687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B0687D" w:rsidRDefault="00B0687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B0687D" w:rsidRDefault="00B0687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0687D">
        <w:trPr>
          <w:tblHeader/>
        </w:trPr>
        <w:tc>
          <w:tcPr>
            <w:tcW w:w="849" w:type="dxa"/>
            <w:vAlign w:val="center"/>
          </w:tcPr>
          <w:p w:rsidR="00B0687D" w:rsidRDefault="00CD4237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7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0687D" w:rsidRDefault="00CD42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0687D">
        <w:tc>
          <w:tcPr>
            <w:tcW w:w="849" w:type="dxa"/>
            <w:vAlign w:val="center"/>
          </w:tcPr>
          <w:p w:rsidR="00B0687D" w:rsidRDefault="00B0687D">
            <w:pPr>
              <w:pStyle w:val="aff0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B0687D" w:rsidRDefault="00CD423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гарантируемые показатели). Если  Участником  предлагается  эквивалентная   требуемой Заказчику </w:t>
            </w:r>
            <w:r>
              <w:rPr>
                <w:b/>
                <w:sz w:val="24"/>
                <w:szCs w:val="24"/>
              </w:rPr>
              <w:t>продукции или ее составных частей, он должен в обязательном порядке в составе  предложения предоставить подробное техническое описание предлагаемого к поставке  эквивалента,  в  объеме  не  менее  установленных  в настоящих ТТ требований.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-//-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-//-</w:t>
            </w:r>
          </w:p>
        </w:tc>
        <w:tc>
          <w:tcPr>
            <w:tcW w:w="2126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-//-</w:t>
            </w:r>
          </w:p>
        </w:tc>
      </w:tr>
      <w:tr w:rsidR="00B0687D">
        <w:trPr>
          <w:trHeight w:val="712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color w:val="000000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Ограничитель перенапряжения нелинейный 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Ограничитель перенапряжения нелинейный EXLIM P420-GH550 (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или эквивалент)</w:t>
            </w:r>
          </w:p>
          <w:p w:rsidR="00B0687D" w:rsidRDefault="00B0687D">
            <w:pPr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Предложение х</w:t>
            </w:r>
            <w:r>
              <w:rPr>
                <w:bCs/>
                <w:i/>
                <w:sz w:val="22"/>
                <w:szCs w:val="22"/>
              </w:rPr>
              <w:t>арактеристик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Максимальное рабочее напряжени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550 кВ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Номинальное напряжение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4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20 кВ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Номинальный разрядный ток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20 кА (пиковое значение)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Способность выдерживать перенапряжение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458 кВ (1 с), 435 кВ (10 с)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Длительно допустимое рабочее напряжение 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336 кВ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Повторяющийся заряд переноса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3,2 Кл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Классификационный ток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 мА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Согласие с 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Номинальная частота</w:t>
            </w:r>
          </w:p>
        </w:tc>
        <w:tc>
          <w:tcPr>
            <w:tcW w:w="4817" w:type="dxa"/>
            <w:shd w:val="clear" w:color="auto" w:fill="FFFFFF"/>
          </w:tcPr>
          <w:p w:rsidR="00B0687D" w:rsidRDefault="00CD4237">
            <w:pPr>
              <w:widowControl w:val="0"/>
              <w:shd w:val="clear" w:color="auto" w:fill="FFFFFF" w:themeFill="background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50-60 Гц</w:t>
            </w:r>
          </w:p>
        </w:tc>
        <w:tc>
          <w:tcPr>
            <w:tcW w:w="2269" w:type="dxa"/>
            <w:shd w:val="clear" w:color="auto" w:fill="FFFFFF" w:themeFill="background1"/>
          </w:tcPr>
          <w:p w:rsidR="00B0687D" w:rsidRDefault="00CD4237">
            <w:pPr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 xml:space="preserve">Согласие с </w:t>
            </w:r>
            <w:r>
              <w:rPr>
                <w:bCs/>
                <w:i/>
                <w:sz w:val="22"/>
                <w:szCs w:val="22"/>
                <w:lang w:val="en-US"/>
              </w:rPr>
              <w:t>требованиями</w:t>
            </w:r>
          </w:p>
        </w:tc>
        <w:tc>
          <w:tcPr>
            <w:tcW w:w="2269" w:type="dxa"/>
            <w:shd w:val="clear" w:color="auto" w:fill="auto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B0687D" w:rsidRDefault="00CD4237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-//-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-//-</w:t>
            </w:r>
          </w:p>
        </w:tc>
        <w:tc>
          <w:tcPr>
            <w:tcW w:w="2126" w:type="dxa"/>
          </w:tcPr>
          <w:p w:rsidR="00B0687D" w:rsidRDefault="00CD4237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-//-</w:t>
            </w:r>
          </w:p>
        </w:tc>
      </w:tr>
      <w:tr w:rsidR="00B0687D">
        <w:trPr>
          <w:trHeight w:val="1200"/>
        </w:trPr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4817" w:type="dxa"/>
          </w:tcPr>
          <w:p w:rsidR="00B0687D" w:rsidRDefault="00CD423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осуществляется до склада Заказчика по адресу: РФ, 617760 Пермский край, Чайковский городской округ, г. </w:t>
            </w:r>
            <w:r>
              <w:rPr>
                <w:sz w:val="24"/>
                <w:szCs w:val="24"/>
              </w:rPr>
              <w:t>Чайковский, территория Воткинской ГЭС, дом 1/2.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 поставки</w:t>
            </w:r>
          </w:p>
        </w:tc>
        <w:tc>
          <w:tcPr>
            <w:tcW w:w="4817" w:type="dxa"/>
          </w:tcPr>
          <w:p w:rsidR="00B0687D" w:rsidRDefault="00CD423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t>  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продукции Заказчику осуществляется силами, средствами и за счет Поставщика в рабочее время с 9-00 до 15-00 часов в срок, указанный в подразделе </w:t>
            </w:r>
            <w:r>
              <w:rPr>
                <w:rFonts w:eastAsia="Calibri"/>
                <w:sz w:val="24"/>
                <w:szCs w:val="24"/>
                <w:lang w:eastAsia="en-US"/>
              </w:rPr>
              <w:t>2.1.2 настоящих ТТ.</w:t>
            </w:r>
          </w:p>
          <w:p w:rsidR="00B0687D" w:rsidRDefault="00CD423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B0687D" w:rsidRDefault="00CD423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 xml:space="preserve">Дата, время доставки продукции, государственный № транспорта, ФИО сотрудников Поставщика в обязательном </w:t>
            </w:r>
            <w:r>
              <w:rPr>
                <w:sz w:val="24"/>
                <w:szCs w:val="24"/>
              </w:rPr>
              <w:t xml:space="preserve">порядке должны быть согласованы в письменном виде с ответственным сотрудником Заказчика не позднее 12-00 </w:t>
            </w:r>
            <w:r>
              <w:rPr>
                <w:sz w:val="24"/>
                <w:szCs w:val="24"/>
              </w:rPr>
              <w:lastRenderedPageBreak/>
              <w:t>часов дня по московскому времени, предшествующего дню поставки.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B0687D" w:rsidRDefault="00B0687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817" w:type="dxa"/>
          </w:tcPr>
          <w:p w:rsidR="00B0687D" w:rsidRDefault="00CD423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заводскую упаковку, упаковка должна обеспечивать защиту продукции от загрязнения и 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B0687D" w:rsidRDefault="00B0687D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B0687D" w:rsidRDefault="00CD4237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</w:t>
            </w:r>
            <w:r>
              <w:rPr>
                <w:b/>
                <w:sz w:val="24"/>
                <w:szCs w:val="24"/>
              </w:rPr>
              <w:t xml:space="preserve"> послегарантийному обслуживанию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B0687D" w:rsidRDefault="00CD423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817" w:type="dxa"/>
          </w:tcPr>
          <w:p w:rsidR="00B0687D" w:rsidRDefault="00CD423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 – 5 лет со дня ввода в эксплуатацию, но не более 6 лет с даты подписания Заказчиком товарной накладной, в зависимости от того, какой из этих сроков наступит ранее.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B0687D" w:rsidRDefault="00B0687D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B0687D" w:rsidRDefault="00CD423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B0687D" w:rsidRDefault="00CD423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B0687D" w:rsidRDefault="00CD423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687D">
        <w:tc>
          <w:tcPr>
            <w:tcW w:w="849" w:type="dxa"/>
          </w:tcPr>
          <w:p w:rsidR="00B0687D" w:rsidRDefault="00B0687D">
            <w:pPr>
              <w:pStyle w:val="aff0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B0687D" w:rsidRDefault="00CD423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4817" w:type="dxa"/>
          </w:tcPr>
          <w:p w:rsidR="00B0687D" w:rsidRDefault="00CD423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паспорт монтажа, ведомость комплектации, протокол приемо-сдаточных испытаний ОПН, сертификаты соответствия продукции, а также инструкции по эксплуатации и хранению от завода-изготовителя. Сертификаты соответствия должны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быть выданы отраслевыми органами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сертификации и заверены печатью Поставщика. 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B0687D" w:rsidRDefault="00B0687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B0687D">
        <w:tc>
          <w:tcPr>
            <w:tcW w:w="849" w:type="dxa"/>
          </w:tcPr>
          <w:p w:rsidR="00B0687D" w:rsidRDefault="00CD4237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653" w:type="dxa"/>
            <w:gridSpan w:val="2"/>
          </w:tcPr>
          <w:p w:rsidR="00B0687D" w:rsidRDefault="00CD4237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B0687D" w:rsidRDefault="00CD423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B0687D">
        <w:tc>
          <w:tcPr>
            <w:tcW w:w="849" w:type="dxa"/>
          </w:tcPr>
          <w:p w:rsidR="00B0687D" w:rsidRDefault="00CD4237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836" w:type="dxa"/>
          </w:tcPr>
          <w:p w:rsidR="00B0687D" w:rsidRDefault="00CD42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4817" w:type="dxa"/>
          </w:tcPr>
          <w:p w:rsidR="00B0687D" w:rsidRDefault="00CD423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допускается поставка бывшей в </w:t>
            </w:r>
            <w:r>
              <w:rPr>
                <w:rFonts w:eastAsia="Calibri"/>
                <w:sz w:val="24"/>
                <w:szCs w:val="24"/>
                <w:lang w:eastAsia="en-US"/>
              </w:rPr>
              <w:t>употреблении, контрафактной и восстановленной продукции.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B0687D" w:rsidRDefault="00CD4237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B0687D" w:rsidRDefault="00B0687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687D">
        <w:tc>
          <w:tcPr>
            <w:tcW w:w="849" w:type="dxa"/>
          </w:tcPr>
          <w:p w:rsidR="00B0687D" w:rsidRDefault="00CD4237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2836" w:type="dxa"/>
          </w:tcPr>
          <w:p w:rsidR="00B0687D" w:rsidRDefault="00CD4237">
            <w:pPr>
              <w:pStyle w:val="aff0"/>
              <w:widowControl w:val="0"/>
              <w:spacing w:before="60" w:after="60"/>
              <w:ind w:left="25"/>
            </w:pPr>
            <w:r>
              <w:t>Требования к происхождению поставляемой продукции</w:t>
            </w:r>
          </w:p>
        </w:tc>
        <w:tc>
          <w:tcPr>
            <w:tcW w:w="4817" w:type="dxa"/>
          </w:tcPr>
          <w:p w:rsidR="00B0687D" w:rsidRDefault="00CD4237">
            <w:pPr>
              <w:pStyle w:val="aff0"/>
              <w:widowControl w:val="0"/>
              <w:spacing w:before="60" w:after="60"/>
              <w:ind w:left="25"/>
              <w:jc w:val="both"/>
            </w:pPr>
            <w:r>
              <w:rPr>
                <w:lang w:eastAsia="en-US"/>
              </w:rPr>
              <w:t>В соответствии с нормами Постановления Правительства РФ от 23.12.2024 №1875 при проведении настоящей закупки уст</w:t>
            </w:r>
            <w:r>
              <w:rPr>
                <w:lang w:eastAsia="en-US"/>
              </w:rPr>
              <w:t>анавливается ограничение поставки товаров, происходящих из иностранных государств</w:t>
            </w:r>
          </w:p>
        </w:tc>
        <w:tc>
          <w:tcPr>
            <w:tcW w:w="2269" w:type="dxa"/>
          </w:tcPr>
          <w:p w:rsidR="00B0687D" w:rsidRDefault="00CD4237">
            <w:pPr>
              <w:pStyle w:val="aff0"/>
              <w:widowControl w:val="0"/>
              <w:spacing w:before="60" w:after="60"/>
              <w:ind w:left="25"/>
              <w:jc w:val="center"/>
            </w:pPr>
            <w:r>
              <w:rPr>
                <w:i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B0687D" w:rsidRDefault="00B0687D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2126" w:type="dxa"/>
          </w:tcPr>
          <w:p w:rsidR="00B0687D" w:rsidRDefault="00B0687D">
            <w:pPr>
              <w:pStyle w:val="aff0"/>
              <w:widowControl w:val="0"/>
              <w:spacing w:before="60" w:after="60"/>
              <w:ind w:left="25"/>
            </w:pPr>
          </w:p>
        </w:tc>
      </w:tr>
    </w:tbl>
    <w:p w:rsidR="00B0687D" w:rsidRDefault="00B0687D">
      <w:pPr>
        <w:sectPr w:rsidR="00B0687D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B0687D" w:rsidRDefault="00CD4237">
      <w:pPr>
        <w:pStyle w:val="1"/>
      </w:pPr>
      <w:bookmarkStart w:id="32" w:name="_Toc53393312"/>
      <w:bookmarkStart w:id="33" w:name="_Toc232685650"/>
      <w:bookmarkStart w:id="34" w:name="_Toc75446583"/>
      <w:r>
        <w:lastRenderedPageBreak/>
        <w:t>3. Требования к документации по ценообразованию</w:t>
      </w:r>
      <w:bookmarkEnd w:id="32"/>
      <w:r>
        <w:t xml:space="preserve"> на этапе закупки</w:t>
      </w:r>
      <w:bookmarkEnd w:id="33"/>
      <w:bookmarkEnd w:id="34"/>
    </w:p>
    <w:p w:rsidR="00B0687D" w:rsidRDefault="00CD423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</w:t>
      </w:r>
      <w:r>
        <w:rPr>
          <w:bCs/>
          <w:iCs/>
          <w:sz w:val="24"/>
          <w:szCs w:val="24"/>
          <w:lang w:eastAsia="x-none"/>
        </w:rPr>
        <w:t xml:space="preserve">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B0687D" w:rsidRDefault="00CD423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</w:t>
      </w:r>
      <w:bookmarkStart w:id="35" w:name="_Toc51339699"/>
      <w:bookmarkStart w:id="36" w:name="_Toc46743519"/>
      <w:bookmarkStart w:id="37" w:name="_GoBack"/>
      <w:bookmarkEnd w:id="37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  <w:bookmarkEnd w:id="35"/>
      <w:bookmarkEnd w:id="36"/>
    </w:p>
    <w:sectPr w:rsidR="00B0687D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4237">
      <w:r>
        <w:separator/>
      </w:r>
    </w:p>
  </w:endnote>
  <w:endnote w:type="continuationSeparator" w:id="0">
    <w:p w:rsidR="00000000" w:rsidRDefault="00CD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4237">
      <w:r>
        <w:separator/>
      </w:r>
    </w:p>
  </w:footnote>
  <w:footnote w:type="continuationSeparator" w:id="0">
    <w:p w:rsidR="00000000" w:rsidRDefault="00CD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CD423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687D" w:rsidRDefault="00CD423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CD42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B0687D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CD42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B0687D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CD4237">
    <w:pPr>
      <w:pStyle w:val="aff5"/>
      <w:jc w:val="center"/>
    </w:pPr>
    <w:r>
      <w:fldChar w:fldCharType="begin"/>
    </w:r>
    <w:r>
      <w:instrText xml:space="preserve"> PA</w:instrText>
    </w:r>
    <w:r>
      <w:instrText xml:space="preserve">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7D" w:rsidRDefault="00B068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374"/>
    <w:multiLevelType w:val="multilevel"/>
    <w:tmpl w:val="14C08A9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66A11C0"/>
    <w:multiLevelType w:val="multilevel"/>
    <w:tmpl w:val="54FA5C7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625E32"/>
    <w:multiLevelType w:val="multilevel"/>
    <w:tmpl w:val="D8025B9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0510C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CF80E89"/>
    <w:multiLevelType w:val="multilevel"/>
    <w:tmpl w:val="7D98B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8271862"/>
    <w:multiLevelType w:val="multilevel"/>
    <w:tmpl w:val="200273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4D05677"/>
    <w:multiLevelType w:val="multilevel"/>
    <w:tmpl w:val="A2AA038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04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409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65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85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09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30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54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17472" w:hanging="1800"/>
      </w:pPr>
    </w:lvl>
  </w:abstractNum>
  <w:abstractNum w:abstractNumId="7" w15:restartNumberingAfterBreak="0">
    <w:nsid w:val="7EE86DA7"/>
    <w:multiLevelType w:val="multilevel"/>
    <w:tmpl w:val="FACCF34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7D"/>
    <w:rsid w:val="00B0687D"/>
    <w:rsid w:val="00C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8342"/>
  <w15:docId w15:val="{2E5EB44B-D308-4AE5-8D6C-B435EFD5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59689B"/>
    <w:pPr>
      <w:keepNext/>
      <w:spacing w:before="120" w:after="6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tabs>
        <w:tab w:val="left" w:pos="0"/>
      </w:tabs>
      <w:ind w:left="-1977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59689B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ableParagraph">
    <w:name w:val="Table Paragraph"/>
    <w:basedOn w:val="a3"/>
    <w:uiPriority w:val="1"/>
    <w:qFormat/>
    <w:rsid w:val="00814098"/>
    <w:pPr>
      <w:widowControl w:val="0"/>
      <w:spacing w:before="113"/>
    </w:pPr>
    <w:rPr>
      <w:rFonts w:ascii="Roboto" w:eastAsia="Roboto" w:hAnsi="Roboto" w:cs="Roboto"/>
      <w:sz w:val="22"/>
      <w:szCs w:val="22"/>
      <w:lang w:eastAsia="en-US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5B04-B408-4B15-ADB7-75F4663D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2</cp:revision>
  <cp:lastPrinted>2023-11-09T05:51:00Z</cp:lastPrinted>
  <dcterms:created xsi:type="dcterms:W3CDTF">2026-06-19T06:40:00Z</dcterms:created>
  <dcterms:modified xsi:type="dcterms:W3CDTF">2026-06-19T06:40:00Z</dcterms:modified>
  <dc:language>ru-RU</dc:language>
</cp:coreProperties>
</file>