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7554584"/>
      <w:bookmarkStart w:id="2" w:name="_Toc139856287"/>
      <w:bookmarkStart w:id="3" w:name="_Toc141696704"/>
      <w:bookmarkStart w:id="4" w:name="_Toc13755458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7554584_Копия_1"/>
      <w:bookmarkStart w:id="7" w:name="_Toc139856287_Копия_1"/>
      <w:bookmarkStart w:id="8" w:name="_Toc141696704_Копия_1"/>
      <w:bookmarkStart w:id="9" w:name="_Toc137554584_Копия_1"/>
      <w:bookmarkStart w:id="10" w:name="_Toc139856287_Копия_1"/>
      <w:bookmarkStart w:id="11" w:name="_Toc141696704_Копия_1"/>
      <w:bookmarkEnd w:id="9"/>
      <w:bookmarkEnd w:id="10"/>
      <w:bookmarkEnd w:id="11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tabs>
          <w:tab w:val="clear" w:pos="708"/>
          <w:tab w:val="left" w:pos="2655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color w:val="000000" w:themeColor="text1"/>
          <w:sz w:val="26"/>
          <w:szCs w:val="26"/>
          <w:shd w:fill="FFFFFF" w:val="clear"/>
        </w:rPr>
      </w:pPr>
      <w:r>
        <w:rPr>
          <w:rFonts w:eastAsia="Calibri"/>
          <w:b/>
          <w:color w:val="000000" w:themeColor="text1"/>
          <w:sz w:val="26"/>
          <w:szCs w:val="26"/>
        </w:rPr>
        <w:t xml:space="preserve">Технические требования </w:t>
      </w:r>
      <w:r>
        <w:rPr>
          <w:b/>
          <w:color w:val="000000" w:themeColor="text1"/>
          <w:sz w:val="26"/>
          <w:szCs w:val="26"/>
          <w:shd w:fill="FFFFFF" w:val="clear"/>
        </w:rPr>
        <w:t xml:space="preserve">на поставку МТР. </w:t>
      </w:r>
    </w:p>
    <w:p>
      <w:pPr>
        <w:pStyle w:val="Normal"/>
        <w:jc w:val="center"/>
        <w:rPr>
          <w:b/>
          <w:color w:val="000000" w:themeColor="text1"/>
          <w:sz w:val="26"/>
          <w:szCs w:val="26"/>
          <w:shd w:fill="FFFFFF" w:val="clear"/>
        </w:rPr>
      </w:pPr>
      <w:r>
        <w:rPr>
          <w:b/>
          <w:color w:val="000000" w:themeColor="text1"/>
          <w:sz w:val="26"/>
          <w:szCs w:val="26"/>
          <w:shd w:fill="FFFFFF" w:val="clear"/>
        </w:rPr>
        <w:t>по Лоту №</w:t>
      </w:r>
    </w:p>
    <w:p>
      <w:pPr>
        <w:pStyle w:val="Normal"/>
        <w:keepNext w:val="true"/>
        <w:keepLines/>
        <w:jc w:val="center"/>
        <w:rPr>
          <w:b/>
          <w:color w:val="000000" w:themeColor="text1"/>
          <w:sz w:val="26"/>
          <w:szCs w:val="26"/>
          <w:shd w:fill="FFFFFF" w:val="clear"/>
        </w:rPr>
      </w:pPr>
      <w:r>
        <w:rPr>
          <w:rFonts w:eastAsia="Calibri"/>
          <w:b/>
        </w:rPr>
        <w:t xml:space="preserve">ОКПД2 27.11.42 </w:t>
      </w:r>
      <w:r>
        <w:rPr>
          <w:b/>
          <w:color w:val="000000" w:themeColor="text1"/>
          <w:sz w:val="26"/>
          <w:szCs w:val="26"/>
          <w:shd w:fill="FFFFFF" w:val="clear"/>
        </w:rPr>
        <w:t xml:space="preserve">Поставка трансформаторов напряжения </w:t>
      </w:r>
      <w:r>
        <w:rPr>
          <w:b/>
          <w:color w:val="000000" w:themeColor="text1"/>
          <w:sz w:val="26"/>
          <w:szCs w:val="26"/>
          <w:shd w:fill="FFFFFF" w:val="clear"/>
        </w:rPr>
        <w:t>330кВ</w:t>
      </w:r>
      <w:r>
        <w:rPr>
          <w:rFonts w:eastAsia="Calibri"/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  <w:shd w:fill="FFFFFF" w:val="clear"/>
        </w:rPr>
        <w:t>для нужд Филиала ПАО «РусГидро»- «Северо-Осетинский филиал»</w:t>
      </w:r>
    </w:p>
    <w:p>
      <w:pPr>
        <w:pStyle w:val="Normal"/>
        <w:jc w:val="center"/>
        <w:rPr>
          <w:rFonts w:eastAsia="Calibri"/>
          <w:b/>
          <w:i/>
          <w:i/>
          <w:color w:val="FF0000"/>
          <w:sz w:val="26"/>
          <w:szCs w:val="26"/>
        </w:rPr>
      </w:pPr>
      <w:r>
        <w:rPr>
          <w:rFonts w:eastAsia="Calibri"/>
          <w:b/>
          <w:i/>
          <w:color w:val="FF0000"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8"/>
              <w:vanish w:val="false"/>
            </w:rPr>
            <w:instrText xml:space="preserve"> TOC \z \o "1-4" \u \h</w:instrText>
          </w:r>
          <w:r>
            <w:rPr>
              <w:webHidden/>
              <w:rStyle w:val="Style18"/>
              <w:vanish w:val="false"/>
            </w:rPr>
            <w:fldChar w:fldCharType="separate"/>
          </w:r>
          <w:hyperlink w:anchor="_Toc75446145">
            <w:r>
              <w:rPr>
                <w:webHidden/>
                <w:rStyle w:val="Style18"/>
                <w:vanish w:val="false"/>
              </w:rPr>
              <w:t>1.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_Toc75446145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Общие сведения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146">
            <w:r>
              <w:rPr>
                <w:webHidden/>
                <w:rStyle w:val="Style18"/>
                <w:iCs/>
                <w:vanish w:val="false"/>
              </w:rPr>
              <w:t>1.1.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_Toc75446146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Обозначения и сокращения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147">
            <w:r>
              <w:rPr>
                <w:webHidden/>
                <w:rStyle w:val="Style18"/>
                <w:iCs/>
                <w:vanish w:val="false"/>
              </w:rPr>
              <w:t>1.2.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_Toc75446147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Наименование закупаемой продукции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148">
            <w:r>
              <w:rPr>
                <w:webHidden/>
                <w:rStyle w:val="Style18"/>
                <w:iCs/>
                <w:vanish w:val="false"/>
              </w:rPr>
              <w:t>1.3.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_Toc75446148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 xml:space="preserve">Цель использования закупаемой продукции 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52">
            <w:r>
              <w:rPr>
                <w:webHidden/>
                <w:rStyle w:val="Style18"/>
                <w:vanish w:val="false"/>
              </w:rPr>
              <w:t>2.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8"/>
                <w:iCs/>
              </w:rPr>
              <w:t>Требования к продукции</w:t>
            </w:r>
            <w:r>
              <w:rPr>
                <w:rStyle w:val="Style18"/>
              </w:rPr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val="en-US"/>
            </w:rPr>
          </w:pPr>
          <w:hyperlink w:anchor="_Toc75446153">
            <w:r>
              <w:rPr>
                <w:webHidden/>
                <w:rStyle w:val="Style18"/>
                <w:iCs/>
                <w:vanish w:val="false"/>
              </w:rPr>
              <w:t>2.1.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8"/>
              </w:rPr>
              <w:t>Требования к объемам и срокам поставки</w:t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val="en-US"/>
            </w:rPr>
          </w:pPr>
          <w:hyperlink w:anchor="_Toc75446154">
            <w:r>
              <w:rPr>
                <w:webHidden/>
                <w:rStyle w:val="Style18"/>
                <w:vanish w:val="false"/>
              </w:rPr>
              <w:t>2.1.1.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8"/>
              </w:rPr>
              <w:t>Перечень закупаемой продукции</w:t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55">
            <w:r>
              <w:rPr>
                <w:webHidden/>
                <w:rStyle w:val="Style18"/>
                <w:vanish w:val="false"/>
              </w:rPr>
              <w:t>Таблица 1.</w:t>
            </w:r>
            <w:r>
              <w:rPr>
                <w:rStyle w:val="Style18"/>
                <w:lang w:val="en-US"/>
              </w:rPr>
              <w:t>1</w:t>
            </w:r>
            <w:r>
              <w:rPr>
                <w:rStyle w:val="Style18"/>
              </w:rPr>
              <w:t xml:space="preserve"> Перечень закупаемой продукции</w:t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56">
            <w:r>
              <w:rPr>
                <w:webHidden/>
                <w:rStyle w:val="Style18"/>
                <w:vanish w:val="false"/>
              </w:rPr>
              <w:t>Таблица 1.2 Перечень и объем закупаемых сопутствующих услуг</w:t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val="en-US"/>
            </w:rPr>
          </w:pPr>
          <w:hyperlink w:anchor="_Toc75446157">
            <w:r>
              <w:rPr>
                <w:webHidden/>
                <w:rStyle w:val="Style18"/>
                <w:vanish w:val="false"/>
              </w:rPr>
              <w:t>2.1.2.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8"/>
              </w:rPr>
              <w:t>Требования по срокам поставки продукции и оказания сопутствующих услуг</w:t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58">
            <w:r>
              <w:rPr>
                <w:webHidden/>
                <w:rStyle w:val="Style18"/>
                <w:vanish w:val="false"/>
              </w:rPr>
              <w:t>Таблица 2.1 Требования по срокам поставки продукции</w:t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59">
            <w:r>
              <w:rPr>
                <w:webHidden/>
                <w:rStyle w:val="Style18"/>
                <w:vanish w:val="false"/>
              </w:rPr>
              <w:t>Таблица 2.2 Требования по срокам оказания сопутствующих услуг</w:t>
              <w:tab/>
            </w:r>
          </w:hyperlink>
          <w:r>
            <w:rPr>
              <w:lang w:val="en-US"/>
            </w:rPr>
            <w:t>6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val="en-US"/>
            </w:rPr>
          </w:pPr>
          <w:hyperlink w:anchor="_Toc75446160">
            <w:r>
              <w:rPr>
                <w:webHidden/>
                <w:rStyle w:val="Style18"/>
                <w:iCs/>
                <w:vanish w:val="false"/>
              </w:rPr>
              <w:t>2.2.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8"/>
              </w:rPr>
              <w:t>Требования к качеству продукции</w:t>
              <w:tab/>
            </w:r>
          </w:hyperlink>
          <w:r>
            <w:rPr>
              <w:lang w:val="en-US"/>
            </w:rPr>
            <w:t>7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61">
            <w:r>
              <w:rPr>
                <w:webHidden/>
                <w:rStyle w:val="Style18"/>
                <w:vanish w:val="false"/>
              </w:rPr>
              <w:t>Таблица 3. Требования к продукции</w:t>
              <w:tab/>
            </w:r>
          </w:hyperlink>
          <w:r>
            <w:rPr>
              <w:lang w:val="en-US"/>
            </w:rPr>
            <w:t>7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163">
            <w:r>
              <w:rPr>
                <w:webHidden/>
                <w:rStyle w:val="Style18"/>
                <w:vanish w:val="false"/>
              </w:rPr>
              <w:t>3.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8"/>
              </w:rPr>
              <w:t>Требования к документации по ценообразованию на этапе закупки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_Toc75446163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  <w:b w:val="false"/>
                <w:bCs w:val="false"/>
              </w:rPr>
              <w:t>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65">
            <w:r>
              <w:rPr>
                <w:webHidden/>
                <w:rStyle w:val="Style18"/>
                <w:vanish w:val="false"/>
              </w:rPr>
              <w:t>4.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8"/>
                <w:iCs/>
              </w:rPr>
              <w:t>Приложения</w:t>
            </w:r>
            <w:r>
              <w:rPr>
                <w:rStyle w:val="Style18"/>
              </w:rPr>
              <w:tab/>
              <w:t>2</w:t>
            </w:r>
          </w:hyperlink>
          <w:r>
            <w:rPr>
              <w:lang w:val="en-US"/>
            </w:rPr>
            <w:t>3</w:t>
          </w:r>
          <w:r>
            <w:rPr>
              <w:lang w:val="en-US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2" w:name="_Toc51339692"/>
      <w:bookmarkStart w:id="13" w:name="_Toc75446145"/>
      <w:r>
        <w:rPr>
          <w:lang w:val="ru-RU"/>
        </w:rPr>
        <w:t>Общие сведения</w:t>
      </w:r>
      <w:bookmarkEnd w:id="12"/>
      <w:bookmarkEnd w:id="13"/>
    </w:p>
    <w:p>
      <w:pPr>
        <w:pStyle w:val="Heading4"/>
        <w:numPr>
          <w:ilvl w:val="1"/>
          <w:numId w:val="3"/>
        </w:numPr>
        <w:rPr/>
      </w:pPr>
      <w:bookmarkStart w:id="14" w:name="_Toc46743505"/>
      <w:bookmarkStart w:id="15" w:name="_Toc75446146"/>
      <w:r>
        <w:rPr/>
        <w:t>Обозначения и сокращения</w:t>
      </w:r>
      <w:bookmarkEnd w:id="14"/>
      <w:bookmarkEnd w:id="15"/>
    </w:p>
    <w:p>
      <w:pPr>
        <w:pStyle w:val="Normal"/>
        <w:rPr>
          <w:rStyle w:val="Style14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14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14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14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/>
                <w:iCs/>
                <w:sz w:val="26"/>
                <w:szCs w:val="26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14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/>
                <w:iCs/>
                <w:sz w:val="26"/>
                <w:szCs w:val="26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Государственный стандарт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16" w:name="_Toc75446147"/>
      <w:bookmarkStart w:id="17" w:name="_Toc46743506"/>
      <w:r>
        <w:rPr/>
        <w:t>Наименование закупаемой продукции</w:t>
      </w:r>
      <w:bookmarkEnd w:id="16"/>
      <w:bookmarkEnd w:id="17"/>
    </w:p>
    <w:p>
      <w:pPr>
        <w:pStyle w:val="Normal"/>
        <w:spacing w:lineRule="atLeast" w:line="0"/>
        <w:rPr>
          <w:iCs/>
          <w:sz w:val="22"/>
          <w:szCs w:val="22"/>
          <w:lang w:val="en-US"/>
        </w:rPr>
      </w:pPr>
      <w:r>
        <w:rPr>
          <w:iCs/>
          <w:sz w:val="22"/>
          <w:szCs w:val="22"/>
          <w:lang w:val="en-US"/>
        </w:rPr>
        <w:t>Трансформаторы напряжения 110кВ</w:t>
      </w:r>
      <w:bookmarkStart w:id="18" w:name="_Toc75446148"/>
      <w:bookmarkStart w:id="19" w:name="_Toc46743507"/>
    </w:p>
    <w:p>
      <w:pPr>
        <w:pStyle w:val="Heading4"/>
        <w:numPr>
          <w:ilvl w:val="0"/>
        </w:numPr>
        <w:tabs>
          <w:tab w:val="clear" w:pos="0"/>
        </w:tabs>
        <w:spacing w:before="240" w:after="60"/>
        <w:ind w:left="432" w:hanging="432"/>
        <w:rPr>
          <w:lang w:val="ru-RU"/>
        </w:rPr>
      </w:pPr>
      <w:r>
        <w:rPr>
          <w:lang w:val="ru-RU"/>
        </w:rPr>
        <w:t xml:space="preserve">1.3 </w:t>
      </w:r>
      <w:r>
        <w:rPr/>
        <w:t xml:space="preserve">Цель </w:t>
      </w:r>
      <w:bookmarkEnd w:id="19"/>
      <w:r>
        <w:rPr>
          <w:lang w:val="ru-RU"/>
        </w:rPr>
        <w:t>использования закупаемой продукции</w:t>
      </w:r>
    </w:p>
    <w:p>
      <w:pPr>
        <w:pStyle w:val="Normal"/>
        <w:jc w:val="both"/>
        <w:rPr>
          <w:rStyle w:val="Style14"/>
          <w:b w:val="false"/>
          <w:iCs/>
          <w:sz w:val="24"/>
          <w:szCs w:val="24"/>
        </w:rPr>
      </w:pPr>
      <w:r>
        <w:rPr>
          <w:i/>
          <w:iCs/>
          <w:sz w:val="24"/>
          <w:szCs w:val="24"/>
        </w:rPr>
        <w:t>Настоящие технические требования составлены для пополнения аварийного запаса Филиала..</w:t>
      </w:r>
      <w:bookmarkEnd w:id="18"/>
    </w:p>
    <w:p>
      <w:pPr>
        <w:pStyle w:val="ListParagraph"/>
        <w:rPr>
          <w:i/>
          <w:i/>
          <w:lang w:eastAsia="x-none"/>
        </w:rPr>
      </w:pPr>
      <w:r>
        <w:rPr>
          <w:i/>
          <w:lang w:eastAsia="x-none"/>
        </w:rPr>
      </w:r>
      <w:bookmarkStart w:id="20" w:name="_Toc50125126"/>
      <w:bookmarkStart w:id="21" w:name="_Toc46743510"/>
      <w:bookmarkStart w:id="22" w:name="_Toc50125126"/>
      <w:bookmarkStart w:id="23" w:name="_Toc46743510"/>
      <w:bookmarkEnd w:id="22"/>
      <w:bookmarkEnd w:id="23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4" w:name="_Toc51339693"/>
      <w:bookmarkStart w:id="25" w:name="_Toc75446152"/>
      <w:r>
        <w:rPr>
          <w:iCs/>
        </w:rPr>
        <w:t>Требования к продукции</w:t>
      </w:r>
      <w:bookmarkEnd w:id="24"/>
      <w:bookmarkEnd w:id="25"/>
    </w:p>
    <w:p>
      <w:pPr>
        <w:pStyle w:val="Heading4"/>
        <w:numPr>
          <w:ilvl w:val="1"/>
          <w:numId w:val="3"/>
        </w:numPr>
        <w:rPr/>
      </w:pPr>
      <w:bookmarkStart w:id="26" w:name="_Toc75446153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6"/>
    </w:p>
    <w:p>
      <w:pPr>
        <w:pStyle w:val="Heading3"/>
        <w:numPr>
          <w:ilvl w:val="2"/>
          <w:numId w:val="3"/>
        </w:numPr>
        <w:rPr/>
      </w:pPr>
      <w:bookmarkStart w:id="27" w:name="_Toc75446154"/>
      <w:r>
        <w:rPr>
          <w:lang w:val="ru-RU"/>
        </w:rPr>
        <w:t>Перечень закупаемой продукции</w:t>
      </w:r>
      <w:bookmarkEnd w:id="2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8" w:name="_Toc75446155"/>
      <w:bookmarkStart w:id="2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9"/>
      <w:r>
        <w:rPr>
          <w:sz w:val="24"/>
          <w:szCs w:val="24"/>
          <w:lang w:val="ru-RU"/>
        </w:rPr>
        <w:t>закупаемой продукции</w:t>
      </w:r>
      <w:bookmarkEnd w:id="28"/>
    </w:p>
    <w:tbl>
      <w:tblPr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54"/>
        <w:gridCol w:w="2799"/>
        <w:gridCol w:w="4544"/>
        <w:gridCol w:w="1126"/>
        <w:gridCol w:w="1000"/>
      </w:tblGrid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Тип,марка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Трансформатор напряжения </w:t>
            </w:r>
            <w:r>
              <w:rPr>
                <w:rFonts w:eastAsia="Calibri"/>
                <w:i/>
                <w:sz w:val="24"/>
                <w:szCs w:val="24"/>
              </w:rPr>
              <w:t>330кВ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НДКМ-330 УХЛ1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шт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30" w:name="_Toc75446157"/>
      <w:bookmarkStart w:id="31" w:name="_Toc51339696"/>
      <w:r>
        <w:rPr>
          <w:lang w:val="ru-RU"/>
        </w:rPr>
        <w:t xml:space="preserve">Требования </w:t>
      </w:r>
      <w:bookmarkEnd w:id="31"/>
      <w:r>
        <w:rPr>
          <w:lang w:val="ru-RU"/>
        </w:rPr>
        <w:t>по срокам поставки продукции и оказания сопутствующих услуг</w:t>
      </w:r>
      <w:bookmarkEnd w:id="3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2" w:name="_Toc75446158"/>
      <w:bookmarkStart w:id="33" w:name="_Toc54637937"/>
      <w:bookmarkStart w:id="34" w:name="_Toc50125127"/>
      <w:bookmarkStart w:id="35" w:name="_Toc51339697"/>
      <w:bookmarkStart w:id="36" w:name="_Toc50125126_Копия_1"/>
      <w:bookmarkStart w:id="37" w:name="_Toc46743510_Копия_1"/>
      <w:bookmarkEnd w:id="36"/>
      <w:bookmarkEnd w:id="3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8" w:name="_Hlk50465284"/>
      <w:r>
        <w:rPr>
          <w:sz w:val="24"/>
          <w:szCs w:val="24"/>
        </w:rPr>
        <w:t xml:space="preserve">Требования по срокам </w:t>
      </w:r>
      <w:bookmarkEnd w:id="34"/>
      <w:bookmarkEnd w:id="35"/>
      <w:bookmarkEnd w:id="38"/>
      <w:r>
        <w:rPr>
          <w:sz w:val="24"/>
          <w:szCs w:val="24"/>
          <w:lang w:val="ru-RU"/>
        </w:rPr>
        <w:t>поставки продукции</w:t>
      </w:r>
      <w:bookmarkEnd w:id="32"/>
      <w:bookmarkEnd w:id="33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2"/>
        <w:gridCol w:w="3267"/>
        <w:gridCol w:w="2695"/>
        <w:gridCol w:w="2833"/>
      </w:tblGrid>
      <w:tr>
        <w:trPr/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39" w:name="_Toc46743511"/>
            <w:r>
              <w:rPr>
                <w:b/>
                <w:sz w:val="24"/>
                <w:szCs w:val="24"/>
              </w:rPr>
              <w:t>4</w:t>
            </w:r>
            <w:bookmarkEnd w:id="39"/>
          </w:p>
        </w:tc>
      </w:tr>
      <w:tr>
        <w:trPr>
          <w:trHeight w:val="1132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 xml:space="preserve">Трансформатор напряжения </w:t>
            </w:r>
            <w:r>
              <w:rPr>
                <w:rFonts w:eastAsia="Calibri"/>
                <w:i/>
                <w:iCs/>
                <w:sz w:val="24"/>
                <w:szCs w:val="24"/>
              </w:rPr>
              <w:t>330кВ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 позднее 20.10.2027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0" w:name="_Toc51339698"/>
      <w:bookmarkStart w:id="41" w:name="_Toc75446160"/>
      <w:r>
        <w:rPr/>
        <w:t xml:space="preserve">Требования к </w:t>
      </w:r>
      <w:r>
        <w:rPr>
          <w:lang w:val="ru-RU"/>
        </w:rPr>
        <w:t>качеству продукции</w:t>
      </w:r>
      <w:bookmarkEnd w:id="4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14"/>
          <w:b/>
          <w:i w:val="false"/>
          <w:i w:val="false"/>
          <w:sz w:val="24"/>
          <w:szCs w:val="24"/>
        </w:rPr>
      </w:pPr>
      <w:bookmarkStart w:id="42" w:name="_Toc7544616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 Требования к</w:t>
      </w:r>
      <w:r>
        <w:rPr>
          <w:sz w:val="24"/>
          <w:szCs w:val="24"/>
          <w:lang w:val="ru-RU"/>
        </w:rPr>
        <w:t xml:space="preserve"> качеству</w:t>
      </w:r>
      <w:r>
        <w:rPr>
          <w:sz w:val="24"/>
          <w:szCs w:val="24"/>
        </w:rPr>
        <w:t xml:space="preserve"> </w:t>
      </w:r>
      <w:bookmarkEnd w:id="40"/>
      <w:r>
        <w:rPr>
          <w:sz w:val="24"/>
          <w:szCs w:val="24"/>
          <w:lang w:val="ru-RU"/>
        </w:rPr>
        <w:t>продукции</w:t>
      </w:r>
      <w:bookmarkEnd w:id="42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14"/>
          <w:b w:val="false"/>
        </w:rPr>
      </w:pPr>
      <w:r>
        <w:rPr>
          <w:rStyle w:val="Style14"/>
        </w:rPr>
        <w:t xml:space="preserve"> </w:t>
      </w:r>
    </w:p>
    <w:p>
      <w:pPr>
        <w:pStyle w:val="Normal"/>
        <w:jc w:val="both"/>
        <w:rPr>
          <w:rStyle w:val="Style14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№_1 Таблицы 1.1):</w:t>
      </w:r>
      <w:r>
        <w:rPr>
          <w:rFonts w:cs="Calibri"/>
          <w:i/>
          <w:sz w:val="24"/>
          <w:szCs w:val="24"/>
        </w:rPr>
        <w:t xml:space="preserve"> </w:t>
      </w:r>
      <w:r>
        <w:rPr>
          <w:rFonts w:eastAsia="Calibri" w:cs="Calibri"/>
          <w:i/>
          <w:iCs/>
          <w:sz w:val="24"/>
          <w:szCs w:val="24"/>
        </w:rPr>
        <w:t>Трансформатор тока SB0.8 12000/5А; 0,5; 30VA; 550х400х50</w:t>
      </w:r>
      <w:r>
        <w:rPr>
          <w:rFonts w:eastAsia="Calibri"/>
          <w:i/>
          <w:sz w:val="24"/>
          <w:szCs w:val="24"/>
        </w:rPr>
        <w:t xml:space="preserve"> или эквивалент </w:t>
      </w:r>
    </w:p>
    <w:tbl>
      <w:tblPr>
        <w:tblStyle w:val="1c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4"/>
        <w:gridCol w:w="2872"/>
        <w:gridCol w:w="3115"/>
        <w:gridCol w:w="2984"/>
        <w:gridCol w:w="3079"/>
        <w:gridCol w:w="2444"/>
      </w:tblGrid>
      <w:tr>
        <w:trPr/>
        <w:tc>
          <w:tcPr>
            <w:tcW w:w="8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87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31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3" w:name="_Hlk51251235"/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  <w:bookmarkEnd w:id="43"/>
          </w:p>
        </w:tc>
        <w:tc>
          <w:tcPr>
            <w:tcW w:w="60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 / 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4" w:name="_Hlk51253264"/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  <w:bookmarkEnd w:id="44"/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30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5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Style14"/>
                <w:b w:val="false"/>
                <w:bCs/>
                <w:i w:val="false"/>
                <w:i w:val="false"/>
                <w:shd w:fill="auto" w:val="clear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>
          <w:trHeight w:val="845" w:hRule="atLeast"/>
        </w:trPr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1.1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Тип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НДКМ-330 УХЛ1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/>
                <w:iCs/>
                <w:sz w:val="24"/>
                <w:szCs w:val="24"/>
              </w:rPr>
            </w:pPr>
            <w:r>
              <w:rPr>
                <w:b w:val="false"/>
                <w:bCs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1.2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Производитель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shd w:fill="FFFFFF" w:val="clear"/>
                <w:lang w:val="en-US" w:bidi="ar-SA"/>
              </w:rPr>
              <w:t>-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Указать производителя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1.3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Тип изоляции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масло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1.4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Антиферрорезонансное исполнение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Да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1.5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Номинальное папряжение обмоток, кВ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-первичной (А-Х)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-основной вторичной №1 (а</w:t>
            </w:r>
            <w:r>
              <w:rPr>
                <w:rFonts w:eastAsia="Calibri"/>
                <w:kern w:val="0"/>
                <w:sz w:val="24"/>
                <w:szCs w:val="24"/>
                <w:vertAlign w:val="subscript"/>
                <w:lang w:val="en-US" w:eastAsia="en-US" w:bidi="ar-SA"/>
              </w:rPr>
              <w:t>1</w:t>
            </w: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-х</w:t>
            </w:r>
            <w:r>
              <w:rPr>
                <w:rFonts w:eastAsia="Calibri"/>
                <w:kern w:val="0"/>
                <w:sz w:val="24"/>
                <w:szCs w:val="24"/>
                <w:vertAlign w:val="subscript"/>
                <w:lang w:val="en-US" w:eastAsia="en-US" w:bidi="ar-SA"/>
              </w:rPr>
              <w:t>1</w:t>
            </w: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-основной вторичной №</w:t>
            </w: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(а</w:t>
            </w:r>
            <w:r>
              <w:rPr>
                <w:rFonts w:eastAsia="Calibri"/>
                <w:kern w:val="0"/>
                <w:sz w:val="24"/>
                <w:szCs w:val="24"/>
                <w:vertAlign w:val="subscript"/>
                <w:lang w:val="en-US" w:eastAsia="en-US" w:bidi="ar-SA"/>
              </w:rPr>
              <w:t>3</w:t>
            </w: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-х</w:t>
            </w:r>
            <w:r>
              <w:rPr>
                <w:rFonts w:eastAsia="Calibri"/>
                <w:kern w:val="0"/>
                <w:sz w:val="24"/>
                <w:szCs w:val="24"/>
                <w:vertAlign w:val="subscript"/>
                <w:lang w:val="en-US" w:eastAsia="en-US" w:bidi="ar-SA"/>
              </w:rPr>
              <w:t>3</w:t>
            </w: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 xml:space="preserve">-дополнительной вторичной </w:t>
            </w: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 xml:space="preserve">№3 </w:t>
            </w: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(а</w:t>
            </w:r>
            <w:r>
              <w:rPr>
                <w:rFonts w:eastAsia="Calibri"/>
                <w:kern w:val="0"/>
                <w:sz w:val="24"/>
                <w:szCs w:val="24"/>
                <w:vertAlign w:val="subscript"/>
                <w:lang w:val="en-US" w:eastAsia="en-US" w:bidi="ar-SA"/>
              </w:rPr>
              <w:t>д</w:t>
            </w: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-х</w:t>
            </w:r>
            <w:r>
              <w:rPr>
                <w:rFonts w:eastAsia="Calibri"/>
                <w:kern w:val="0"/>
                <w:sz w:val="24"/>
                <w:szCs w:val="24"/>
                <w:vertAlign w:val="subscript"/>
                <w:lang w:val="en-US" w:eastAsia="en-US" w:bidi="ar-SA"/>
              </w:rPr>
              <w:t>д</w:t>
            </w: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en-US"/>
              </w:rPr>
              <w:t>330</w:t>
            </w:r>
            <w:r>
              <w:rPr>
                <w:rFonts w:eastAsia="Times New Roman" w:cs="Times New Roman"/>
                <w:sz w:val="24"/>
                <w:szCs w:val="24"/>
                <w:lang w:val="en-US" w:eastAsia="en-US"/>
              </w:rPr>
              <w:t>√</w:t>
            </w:r>
            <w:r>
              <w:rPr>
                <w:rFonts w:eastAsia="Calibri" w:cs="Times New Roman"/>
                <w:sz w:val="24"/>
                <w:szCs w:val="24"/>
                <w:lang w:val="en-US" w:eastAsia="en-US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en-US"/>
              </w:rPr>
              <w:t>0,1</w:t>
            </w:r>
            <w:r>
              <w:rPr>
                <w:rFonts w:eastAsia="Times New Roman" w:cs="Times New Roman"/>
                <w:sz w:val="24"/>
                <w:szCs w:val="24"/>
                <w:lang w:val="en-US" w:eastAsia="en-US"/>
              </w:rPr>
              <w:t>√</w:t>
            </w:r>
            <w:r>
              <w:rPr>
                <w:rFonts w:eastAsia="Calibri" w:cs="Times New Roman"/>
                <w:sz w:val="24"/>
                <w:szCs w:val="24"/>
                <w:lang w:val="en-US" w:eastAsia="en-US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en-US"/>
              </w:rPr>
              <w:t>0,1</w:t>
            </w:r>
            <w:r>
              <w:rPr>
                <w:rFonts w:eastAsia="Times New Roman" w:cs="Times New Roman"/>
                <w:sz w:val="24"/>
                <w:szCs w:val="24"/>
                <w:lang w:val="en-US" w:eastAsia="en-US"/>
              </w:rPr>
              <w:t>√</w:t>
            </w:r>
            <w:r>
              <w:rPr>
                <w:rFonts w:eastAsia="Calibri" w:cs="Times New Roman"/>
                <w:sz w:val="24"/>
                <w:szCs w:val="24"/>
                <w:lang w:val="en-US" w:eastAsia="en-US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en-US"/>
              </w:rPr>
              <w:t>0,1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1.6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ru-RU" w:eastAsia="en-US" w:bidi="ar-SA"/>
              </w:rPr>
              <w:t>Наибольшее длительно допустимое рабочее напряжение первичной обмотки, кВ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363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en-US" w:bidi="ar-SA"/>
              </w:rPr>
              <w:t>√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1.7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ru-RU" w:eastAsia="en-US" w:bidi="ar-SA"/>
              </w:rPr>
              <w:t>Группа соединения обмоток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1/1/1/1-0-0-0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1.8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ru-RU" w:eastAsia="en-US" w:bidi="ar-SA"/>
              </w:rPr>
              <w:t xml:space="preserve">Предельная мощность обмоток </w:t>
            </w:r>
            <w:r>
              <w:rPr>
                <w:kern w:val="2"/>
                <w:sz w:val="24"/>
                <w:szCs w:val="24"/>
                <w:lang w:val="ru-RU" w:eastAsia="en-US" w:bidi="ar-SA"/>
              </w:rPr>
              <w:t xml:space="preserve">в классах точности </w:t>
            </w:r>
            <w:r>
              <w:rPr>
                <w:kern w:val="2"/>
                <w:sz w:val="24"/>
                <w:szCs w:val="24"/>
                <w:lang w:val="ru-RU" w:eastAsia="en-US" w:bidi="ar-SA"/>
              </w:rPr>
              <w:t>ВА: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ru-RU" w:eastAsia="en-US" w:bidi="ar-SA"/>
              </w:rPr>
              <w:t>-первичной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ru-RU" w:eastAsia="en-US" w:bidi="ar-SA"/>
              </w:rPr>
              <w:t>-основной вторичной №1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ru-RU" w:eastAsia="en-US" w:bidi="ar-SA"/>
              </w:rPr>
              <w:t>-основной вторичной №</w:t>
            </w:r>
            <w:r>
              <w:rPr>
                <w:kern w:val="2"/>
                <w:sz w:val="24"/>
                <w:szCs w:val="24"/>
                <w:lang w:val="ru-RU" w:eastAsia="en-US" w:bidi="ar-SA"/>
              </w:rPr>
              <w:t>2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ru-RU" w:eastAsia="en-US" w:bidi="ar-SA"/>
              </w:rPr>
              <w:t xml:space="preserve">-дополнительной вторичной </w:t>
            </w:r>
            <w:r>
              <w:rPr>
                <w:kern w:val="2"/>
                <w:sz w:val="24"/>
                <w:szCs w:val="24"/>
                <w:lang w:val="ru-RU" w:eastAsia="en-US" w:bidi="ar-SA"/>
              </w:rPr>
              <w:t>№3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Указано в таблице 4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1.9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ru-RU" w:eastAsia="en-US" w:bidi="ar-SA"/>
              </w:rPr>
              <w:t>Номинальная емкость конденсатора,пф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7000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1.10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ru-RU" w:eastAsia="en-US" w:bidi="ar-SA"/>
              </w:rPr>
              <w:t>Полная масса трансформатора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ru-RU" w:eastAsia="en-US" w:bidi="ar-SA"/>
              </w:rPr>
              <w:t>Масса масла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bidi="ar-SA"/>
              </w:rPr>
              <w:t>Не более 325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Указать значение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1.11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ru-RU" w:eastAsia="en-US" w:bidi="ar-SA"/>
              </w:rPr>
              <w:t>Масса масла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Не более 80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Указать значение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1.12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ru-RU" w:eastAsia="en-US" w:bidi="ar-SA"/>
              </w:rPr>
              <w:t>Допустимая температура окружающего воздуха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От минус 60 до плюс 40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1.13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/>
            </w:pPr>
            <w:r>
              <w:rPr>
                <w:kern w:val="2"/>
                <w:sz w:val="24"/>
                <w:szCs w:val="24"/>
                <w:lang w:val="ru-RU" w:eastAsia="en-US" w:bidi="ar-SA"/>
              </w:rPr>
              <w:t xml:space="preserve">Климатическое исполнение по </w:t>
            </w:r>
            <w:r>
              <w:rPr>
                <w:caps w:val="false"/>
                <w:smallCaps w:val="false"/>
                <w:color w:val="333333"/>
                <w:spacing w:val="0"/>
                <w:kern w:val="2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Style w:val="Strong1"/>
                <w:rFonts w:eastAsia="Calibri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ГОСТ 15150-69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УХЛ1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1.14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eastAsia="en-US" w:bidi="ar-SA"/>
              </w:rPr>
              <w:t>Сейсмичность района, баллов по шкале MSK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Не менее 9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Указать значение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стойкости к механическим нагрузкам 1</w:t>
            </w:r>
            <w:r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 xml:space="preserve">Н 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 тяжения проводов;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-ветровой нагрузки при ветре со скоростью 40м/с;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-гололеда толщиной стенки льда 20мм;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наработка на отказ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4,0</w:t>
            </w:r>
            <w:r>
              <w:rPr>
                <w:sz w:val="24"/>
                <w:szCs w:val="24"/>
              </w:rPr>
              <w:t>*10</w:t>
            </w:r>
            <w:r>
              <w:rPr>
                <w:sz w:val="24"/>
                <w:szCs w:val="24"/>
                <w:vertAlign w:val="superscript"/>
              </w:rPr>
              <w:t>6</w:t>
            </w: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ч.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значение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Новый, ранее не используемый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Под новым следует понимать продукцию, которая не была в употреблении, не приходила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5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2.1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Требования к сроку гарантии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Гарантийный срок эксплуатации не менее 60 мес с даты ввода в эксплуатацию. Период хранения – бессрочно.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Предложение по сроку гарантии на оборудование и запасные части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 w:cstheme="majorBidi"/>
                <w:i/>
                <w:i/>
                <w:iCs/>
                <w:sz w:val="24"/>
                <w:szCs w:val="24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2.2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Нормативный срок службы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Не менее 30 лет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Указать значение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 w:cstheme="majorBidi"/>
                <w:i/>
                <w:i/>
                <w:iCs/>
                <w:sz w:val="24"/>
                <w:szCs w:val="24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5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3.1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Место поставки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Продукция должна быть доставлена Поставщиком по адресу:</w:t>
            </w: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ru-RU" w:bidi="ar-SA"/>
              </w:rPr>
              <w:t>Российская Федерация, Республика Северная Осетия –   Алания, г. Владикавказ, ул. Васо Абаева, 63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3.2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Условия транспортирования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/>
            </w:pPr>
            <w:r>
              <w:rPr>
                <w:kern w:val="0"/>
                <w:sz w:val="24"/>
                <w:szCs w:val="24"/>
                <w:lang w:val="ru-RU" w:bidi="ar-SA"/>
              </w:rPr>
              <w:t>Транспортировка трансформаторов напряжения должна осуществляться Поставщиком, обеспечивая сохранность от всякою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 Транспортировка трансформаторов тока должна производиться </w:t>
            </w:r>
            <w:r>
              <w:rPr>
                <w:rStyle w:val="Strong1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в заводской упаковке.</w:t>
            </w:r>
            <w:r>
              <w:rPr>
                <w:rStyle w:val="Strong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Style w:val="Strong11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Допускается дополнительная упаковка перевозчика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4.</w:t>
            </w:r>
          </w:p>
        </w:tc>
        <w:tc>
          <w:tcPr>
            <w:tcW w:w="5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комплектации и документам, поставляемым вместе с продукцией</w:t>
            </w:r>
            <w:r>
              <w:rPr>
                <w:rStyle w:val="Style14"/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298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34" w:hanging="0"/>
              <w:contextualSpacing/>
              <w:jc w:val="center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" w:asciiTheme="majorBidi" w:cstheme="majorBidi" w:hAnsiTheme="majorBidi"/>
                <w:i/>
                <w:iCs/>
                <w:kern w:val="0"/>
                <w:lang w:val="ru-RU" w:bidi="ar-SA"/>
              </w:rPr>
              <w:t>-//-</w:t>
            </w:r>
          </w:p>
        </w:tc>
        <w:tc>
          <w:tcPr>
            <w:tcW w:w="307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" w:asciiTheme="majorBidi" w:cstheme="majorBidi" w:hAnsiTheme="majorBidi"/>
                <w:i/>
                <w:iCs/>
                <w:kern w:val="0"/>
                <w:lang w:val="ru-RU" w:bidi="ar-SA"/>
              </w:rPr>
              <w:t>-//-</w:t>
            </w:r>
          </w:p>
        </w:tc>
        <w:tc>
          <w:tcPr>
            <w:tcW w:w="244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60" w:hanging="0"/>
              <w:contextualSpacing/>
              <w:jc w:val="center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" w:asciiTheme="majorBidi" w:cstheme="majorBidi" w:hAnsiTheme="majorBidi"/>
                <w:i/>
                <w:iCs/>
                <w:kern w:val="0"/>
                <w:lang w:val="ru-RU" w:bidi="ar-SA"/>
              </w:rPr>
              <w:t>-//-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4.1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 комплект поставки вводов должны входить: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трансформатор напряжения;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паспорт с отметкой о первичной поверке;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-свидетельство о регистрации типа средств измерений;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руководство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упаковочный лист;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комплектующие детали и запасные части в для монтажа трансформатора, предусматриваемые заводом-изготовителем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14"/>
          <w:b/>
          <w:i w:val="false"/>
          <w:i w:val="false"/>
          <w:sz w:val="24"/>
          <w:szCs w:val="24"/>
        </w:rPr>
      </w:pPr>
      <w:bookmarkStart w:id="45" w:name="_Toc75446161_Копия_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</w:t>
      </w:r>
      <w:bookmarkEnd w:id="45"/>
      <w:r>
        <w:rPr>
          <w:sz w:val="24"/>
          <w:szCs w:val="24"/>
        </w:rPr>
        <w:t>П</w:t>
      </w:r>
      <w:r>
        <w:rPr>
          <w:rStyle w:val="Style14"/>
          <w:b/>
          <w:i w:val="false"/>
          <w:sz w:val="24"/>
          <w:szCs w:val="24"/>
          <w:shd w:fill="auto" w:val="clear"/>
        </w:rPr>
        <w:t>ределы допустимой погрешности каждой из основных вторичных обмоток №1,</w:t>
      </w:r>
      <w:r>
        <w:rPr>
          <w:rStyle w:val="Style14"/>
          <w:b/>
          <w:i w:val="false"/>
          <w:sz w:val="24"/>
          <w:szCs w:val="24"/>
          <w:shd w:fill="auto" w:val="clear"/>
        </w:rPr>
        <w:t>№2 и дополнительной обмотки №3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09"/>
        <w:gridCol w:w="1910"/>
        <w:gridCol w:w="1910"/>
        <w:gridCol w:w="1910"/>
        <w:gridCol w:w="1910"/>
        <w:gridCol w:w="1910"/>
        <w:gridCol w:w="1910"/>
        <w:gridCol w:w="1910"/>
      </w:tblGrid>
      <w:tr>
        <w:trPr/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rPr/>
            </w:pPr>
            <w:r>
              <w:rPr/>
              <w:t>Номинальная емнкость конденсаторного блока,пф</w:t>
            </w:r>
          </w:p>
        </w:tc>
        <w:tc>
          <w:tcPr>
            <w:tcW w:w="1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rPr/>
            </w:pPr>
            <w:r>
              <w:rPr/>
              <w:t>Мощность вторичных обмоток в классах точ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ности, ВА соs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φ2=0,8 индуктивный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rPr/>
            </w:pPr>
            <w:r>
              <w:rPr/>
              <w:t>Предельная мощность, ВА</w:t>
            </w:r>
          </w:p>
        </w:tc>
      </w:tr>
      <w:tr>
        <w:trPr/>
        <w:tc>
          <w:tcPr>
            <w:tcW w:w="1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rPr/>
            </w:pPr>
            <w:r>
              <w:rPr/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rPr/>
            </w:pPr>
            <w:r>
              <w:rPr/>
              <w:t>Основной №1</w:t>
            </w:r>
          </w:p>
        </w:tc>
        <w:tc>
          <w:tcPr>
            <w:tcW w:w="764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jc w:val="center"/>
              <w:rPr/>
            </w:pPr>
            <w:r>
              <w:rPr/>
              <w:t>Основной №2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rPr/>
            </w:pPr>
            <w:r>
              <w:rPr/>
              <w:t>Дополнит.№3</w:t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rPr/>
            </w:pPr>
            <w:r>
              <w:rPr/>
            </w:r>
          </w:p>
        </w:tc>
      </w:tr>
      <w:tr>
        <w:trPr/>
        <w:tc>
          <w:tcPr>
            <w:tcW w:w="1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rPr/>
            </w:pPr>
            <w:r>
              <w:rPr/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jc w:val="center"/>
              <w:rPr/>
            </w:pPr>
            <w:r>
              <w:rPr/>
              <w:t>0,2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jc w:val="center"/>
              <w:rPr/>
            </w:pPr>
            <w:r>
              <w:rPr/>
              <w:t>0,2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jc w:val="center"/>
              <w:rPr/>
            </w:pPr>
            <w:r>
              <w:rPr/>
              <w:t>0,5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jc w:val="center"/>
              <w:rPr/>
            </w:pPr>
            <w:r>
              <w:rPr/>
              <w:t>1,0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jc w:val="center"/>
              <w:rPr/>
            </w:pPr>
            <w:r>
              <w:rPr/>
              <w:t>3Р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jc w:val="center"/>
              <w:rPr/>
            </w:pPr>
            <w:r>
              <w:rPr/>
              <w:t>3Р</w:t>
            </w:r>
          </w:p>
        </w:tc>
        <w:tc>
          <w:tcPr>
            <w:tcW w:w="1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rPr/>
            </w:pPr>
            <w:r>
              <w:rPr/>
            </w:r>
          </w:p>
        </w:tc>
      </w:tr>
      <w:tr>
        <w:trPr/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rPr/>
            </w:pPr>
            <w:r>
              <w:rPr/>
              <w:t>7000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jc w:val="center"/>
              <w:rPr/>
            </w:pPr>
            <w:r>
              <w:rPr/>
              <w:t>30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jc w:val="center"/>
              <w:rPr/>
            </w:pPr>
            <w:r>
              <w:rPr/>
              <w:t>120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jc w:val="center"/>
              <w:rPr/>
            </w:pPr>
            <w:r>
              <w:rPr/>
              <w:t>200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jc w:val="center"/>
              <w:rPr/>
            </w:pPr>
            <w:r>
              <w:rPr/>
              <w:t>400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jc w:val="center"/>
              <w:rPr/>
            </w:pPr>
            <w:r>
              <w:rPr/>
              <w:t>-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jc w:val="center"/>
              <w:rPr/>
            </w:pPr>
            <w:r>
              <w:rPr/>
              <w:t>1200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jc w:val="center"/>
              <w:rPr/>
            </w:pPr>
            <w:r>
              <w:rPr/>
              <w:t>2000</w:t>
            </w:r>
          </w:p>
        </w:tc>
      </w:tr>
    </w:tbl>
    <w:p>
      <w:pPr>
        <w:pStyle w:val="Normal"/>
        <w:rPr>
          <w:rStyle w:val="Style14"/>
          <w:b w:val="false"/>
        </w:rPr>
      </w:pPr>
      <w:r>
        <w:rPr>
          <w:b w:val="fals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* Примечание: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В техническом предложении Участника должны быть указаны наименование и марка предлагаемой продукции с подробным описанием технических параметров по всем позициям (за исключением позиций со способом подтверждения - согласие) Таблиц 3-5. «Требования к продукции» Технических требований на поставку МТР.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6" w:name="_Toc53393312"/>
      <w:bookmarkStart w:id="47" w:name="_Toc75446162"/>
      <w:r>
        <w:rPr>
          <w:lang w:val="ru-RU"/>
        </w:rPr>
        <w:t>Требования к документации по ценообразованию</w:t>
      </w:r>
      <w:bookmarkEnd w:id="46"/>
      <w:bookmarkEnd w:id="47"/>
      <w:r>
        <w:rPr>
          <w:lang w:val="ru-RU"/>
        </w:rPr>
        <w:t xml:space="preserve"> на этапе закупки</w:t>
      </w:r>
    </w:p>
    <w:p>
      <w:pPr>
        <w:pStyle w:val="Normal"/>
        <w:rPr>
          <w:sz w:val="10"/>
          <w:szCs w:val="10"/>
          <w:lang w:eastAsia="x-none"/>
        </w:rPr>
      </w:pPr>
      <w:r>
        <w:rPr>
          <w:sz w:val="10"/>
          <w:szCs w:val="10"/>
          <w:lang w:eastAsia="x-none"/>
        </w:rPr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1134" w:leader="none"/>
        </w:tabs>
        <w:suppressAutoHyphens w:val="false"/>
        <w:spacing w:before="0" w:after="120"/>
        <w:ind w:left="0" w:firstLine="720"/>
        <w:jc w:val="both"/>
        <w:rPr>
          <w:bCs/>
          <w:iCs/>
          <w:sz w:val="24"/>
          <w:szCs w:val="24"/>
          <w:lang w:eastAsia="x-none"/>
        </w:rPr>
      </w:pPr>
      <w:bookmarkStart w:id="48" w:name="_GoBack"/>
      <w:bookmarkEnd w:id="48"/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9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49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7"/>
        </w:numPr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bookmarkStart w:id="50" w:name="_Hlk88327292"/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50"/>
      <w:r>
        <w:rPr>
          <w:bCs/>
          <w:iCs/>
          <w:sz w:val="24"/>
          <w:szCs w:val="24"/>
          <w:lang w:eastAsia="x-none"/>
        </w:rPr>
        <w:t xml:space="preserve"> в состав заявки не включаются.</w:t>
      </w:r>
    </w:p>
    <w:p>
      <w:pPr>
        <w:pStyle w:val="Normal"/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26"/>
        <w:numPr>
          <w:ilvl w:val="2"/>
          <w:numId w:val="7"/>
        </w:numPr>
        <w:rPr>
          <w:b w:val="false"/>
          <w:bCs w:val="false"/>
        </w:rPr>
      </w:pPr>
      <w:bookmarkStart w:id="51" w:name="_Toc141972716"/>
      <w:bookmarkStart w:id="52" w:name="_Ref511135236"/>
      <w:r>
        <w:rPr>
          <w:b w:val="false"/>
          <w:bCs w:val="false"/>
          <w:iCs/>
          <w:sz w:val="24"/>
          <w:szCs w:val="24"/>
          <w:lang w:eastAsia="x-none"/>
        </w:rPr>
        <w:t xml:space="preserve">Форма </w:t>
      </w:r>
      <w:bookmarkEnd w:id="52"/>
      <w:r>
        <w:rPr>
          <w:b w:val="false"/>
          <w:bCs w:val="false"/>
          <w:iCs/>
          <w:sz w:val="24"/>
          <w:szCs w:val="24"/>
          <w:lang w:eastAsia="x-none"/>
        </w:rPr>
        <w:t>Коммерческого предложения</w:t>
      </w:r>
      <w:bookmarkEnd w:id="51"/>
    </w:p>
    <w:p>
      <w:pPr>
        <w:pStyle w:val="Normal"/>
        <w:numPr>
          <w:ilvl w:val="0"/>
          <w:numId w:val="0"/>
        </w:numPr>
        <w:ind w:left="108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sz w:val="28"/>
          <w:szCs w:val="28"/>
        </w:rPr>
        <w:t>Спецификация поставляемого оборудования</w:t>
      </w:r>
    </w:p>
    <w:tbl>
      <w:tblPr>
        <w:tblW w:w="5000" w:type="pct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611"/>
        <w:gridCol w:w="957"/>
        <w:gridCol w:w="968"/>
        <w:gridCol w:w="972"/>
        <w:gridCol w:w="1226"/>
        <w:gridCol w:w="1162"/>
        <w:gridCol w:w="987"/>
        <w:gridCol w:w="1158"/>
        <w:gridCol w:w="1096"/>
        <w:gridCol w:w="827"/>
        <w:gridCol w:w="1020"/>
        <w:gridCol w:w="879"/>
        <w:gridCol w:w="814"/>
        <w:gridCol w:w="1134"/>
        <w:gridCol w:w="739"/>
      </w:tblGrid>
      <w:tr>
        <w:trPr>
          <w:trHeight w:val="3795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r>
              <w:rPr>
                <w:bCs/>
                <w:sz w:val="22"/>
                <w:szCs w:val="22"/>
              </w:rPr>
              <w:t>партии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r>
              <w:rPr>
                <w:bCs/>
                <w:sz w:val="22"/>
                <w:szCs w:val="22"/>
              </w:rPr>
              <w:t>поз.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Артикул, тип, марка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Завод изготовитель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Страна происхождения Товара</w:t>
            </w:r>
            <w:r>
              <w:rPr>
                <w:rStyle w:val="FootnoteReference"/>
                <w:bCs/>
                <w:sz w:val="22"/>
                <w:szCs w:val="22"/>
              </w:rPr>
              <w:footnoteReference w:id="2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регистрации производителя Товара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Код ОКПД 2 (с наименованием)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Порядковый номер(а) реестровой(ых) записи(ей)</w:t>
            </w:r>
            <w:r>
              <w:rPr>
                <w:rStyle w:val="FootnoteReference"/>
                <w:bCs/>
                <w:sz w:val="22"/>
                <w:szCs w:val="22"/>
              </w:rPr>
              <w:footnoteReference w:id="3"/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Цена за единицу, руб. без НДС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Цена, руб. без НДС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НДС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(___%)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Стоимость, руб., с НДС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>
          <w:trHeight w:val="538" w:hRule="atLeast"/>
        </w:trPr>
        <w:tc>
          <w:tcPr>
            <w:tcW w:w="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>
          <w:trHeight w:val="62" w:hRule="atLeast"/>
        </w:trPr>
        <w:tc>
          <w:tcPr>
            <w:tcW w:w="134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партии Товара №1, руб. с НДС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>
          <w:trHeight w:val="538" w:hRule="atLeast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>
          <w:trHeight w:val="538" w:hRule="atLeast"/>
        </w:trPr>
        <w:tc>
          <w:tcPr>
            <w:tcW w:w="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>
          <w:trHeight w:val="62" w:hRule="atLeast"/>
        </w:trPr>
        <w:tc>
          <w:tcPr>
            <w:tcW w:w="134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партии Товара №2, руб. с НДС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134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всего Товара (с учетом доставки), руб. с НДС: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rFonts w:ascii="Times New Roman" w:hAnsi="Times New Roman"/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>
        <w:rPr>
          <w:b w:val="false"/>
          <w:bCs w:val="false"/>
          <w:i w:val="false"/>
          <w:iCs w:val="false"/>
          <w:sz w:val="24"/>
          <w:szCs w:val="24"/>
        </w:rPr>
        <w:t>3.2.2. Инструкции по заполнению</w:t>
      </w:r>
    </w:p>
    <w:p>
      <w:pPr>
        <w:pStyle w:val="Style25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Участник указывает свое фирменное наименование (в т.ч. организационно-правовую форму) и свой ИНН.</w:t>
      </w:r>
    </w:p>
    <w:p>
      <w:pPr>
        <w:pStyle w:val="Style25"/>
        <w:tabs>
          <w:tab w:val="clear" w:pos="1134"/>
        </w:tabs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Все расчеты округляются до двух знаков после запятой. </w:t>
      </w:r>
    </w:p>
    <w:p>
      <w:pPr>
        <w:pStyle w:val="Normal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Данная форма должна быть в обязательном порядке представлена в формате, доступном для редактирования (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MicrosoftExcelSheet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(*.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xls</w:t>
      </w:r>
      <w:r>
        <w:rPr>
          <w:b w:val="false"/>
          <w:bCs w:val="false"/>
          <w:i w:val="false"/>
          <w:iCs w:val="false"/>
          <w:sz w:val="24"/>
          <w:szCs w:val="24"/>
        </w:rPr>
        <w:t>)).</w:t>
      </w:r>
    </w:p>
    <w:sectPr>
      <w:headerReference w:type="default" r:id="rId5"/>
      <w:headerReference w:type="first" r:id="rId6"/>
      <w:footnotePr>
        <w:numFmt w:val="decimal"/>
      </w:footnotePr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1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1"/>
        </w:rPr>
        <w:footnoteRef/>
      </w:r>
      <w:r>
        <w:rPr/>
        <w:t xml:space="preserve"> </w:t>
      </w:r>
      <w:r>
        <w:rPr>
          <w:bCs/>
        </w:rPr>
        <w:t>Порядковый номер (номера) реестровой записи (реестровых записей), под которой (которыми) Оборудование включено в реестры, предусмотренные пунктом 3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либо иным нормативно-правовым актом, устанавливающим защитные меры в соответствии с законодательством о Национальном режиме.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rFonts w:cs="Times New Roman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36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aa3604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aa3604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a3604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aa3604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aa360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aa3604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aa3604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aa3604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aa3604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a3604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aa3604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aa360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aa3604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aa3604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aa3604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aa3604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aa3604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aa3604"/>
    <w:rPr>
      <w:rFonts w:ascii="Arial" w:hAnsi="Arial" w:eastAsia="Times New Roman" w:cs="Times New Roman"/>
      <w:lang w:val="x-none" w:eastAsia="x-none"/>
    </w:rPr>
  </w:style>
  <w:style w:type="character" w:styleId="Style" w:customStyle="1">
    <w:name w:val="Текст сноски Знак"/>
    <w:basedOn w:val="DefaultParagraphFont"/>
    <w:qFormat/>
    <w:rsid w:val="00aa36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Символ сноски"/>
    <w:qFormat/>
    <w:rsid w:val="00aa360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" w:customStyle="1">
    <w:name w:val="Верхний колонтитул Знак"/>
    <w:basedOn w:val="DefaultParagraphFont"/>
    <w:qFormat/>
    <w:rsid w:val="00aa360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" w:customStyle="1">
    <w:name w:val="Основной текст с отступом Знак"/>
    <w:basedOn w:val="DefaultParagraphFont"/>
    <w:qFormat/>
    <w:rsid w:val="00aa360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Нижний колонтитул Знак"/>
    <w:basedOn w:val="DefaultParagraphFont"/>
    <w:qFormat/>
    <w:rsid w:val="00aa360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5" w:customStyle="1">
    <w:name w:val="Основной текст Знак"/>
    <w:basedOn w:val="DefaultParagraphFont"/>
    <w:qFormat/>
    <w:rsid w:val="00aa360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aa360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aa3604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a3604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aa360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aa3604"/>
    <w:rPr/>
  </w:style>
  <w:style w:type="character" w:styleId="Hyperlink">
    <w:name w:val="Hyperlink"/>
    <w:uiPriority w:val="99"/>
    <w:rsid w:val="00aa3604"/>
    <w:rPr>
      <w:color w:val="0000FF"/>
      <w:u w:val="single"/>
    </w:rPr>
  </w:style>
  <w:style w:type="character" w:styleId="Style6" w:customStyle="1">
    <w:name w:val="Текст выноски Знак"/>
    <w:basedOn w:val="DefaultParagraphFont"/>
    <w:link w:val="BalloonText"/>
    <w:semiHidden/>
    <w:qFormat/>
    <w:rsid w:val="00aa3604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uiPriority w:val="99"/>
    <w:semiHidden/>
    <w:qFormat/>
    <w:rsid w:val="00aa3604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semiHidden/>
    <w:qFormat/>
    <w:rsid w:val="00aa36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semiHidden/>
    <w:qFormat/>
    <w:rsid w:val="00aa360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>
    <w:name w:val="Strong1"/>
    <w:uiPriority w:val="22"/>
    <w:qFormat/>
    <w:rsid w:val="00aa3604"/>
    <w:rPr>
      <w:b/>
      <w:bCs/>
    </w:rPr>
  </w:style>
  <w:style w:type="character" w:styleId="Style9" w:customStyle="1">
    <w:name w:val="Название Знак"/>
    <w:link w:val="15"/>
    <w:uiPriority w:val="10"/>
    <w:qFormat/>
    <w:rsid w:val="00aa3604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0" w:customStyle="1">
    <w:name w:val="Подзаголовок Знак"/>
    <w:basedOn w:val="DefaultParagraphFont"/>
    <w:uiPriority w:val="11"/>
    <w:qFormat/>
    <w:rsid w:val="00aa3604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aa3604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aa3604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aa3604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aa3604"/>
    <w:rPr>
      <w:i/>
      <w:iCs/>
      <w:color w:val="808080"/>
    </w:rPr>
  </w:style>
  <w:style w:type="character" w:styleId="IntenseEmphasis">
    <w:name w:val="Intense Emphasis"/>
    <w:uiPriority w:val="21"/>
    <w:qFormat/>
    <w:rsid w:val="00aa3604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aa360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aa360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aa3604"/>
    <w:rPr>
      <w:b/>
      <w:bCs/>
      <w:smallCaps/>
      <w:spacing w:val="5"/>
    </w:rPr>
  </w:style>
  <w:style w:type="character" w:styleId="Style12" w:customStyle="1">
    <w:name w:val="Электронная подпись Знак"/>
    <w:basedOn w:val="DefaultParagraphFont"/>
    <w:link w:val="E-mailSignature"/>
    <w:uiPriority w:val="99"/>
    <w:qFormat/>
    <w:rsid w:val="00aa3604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5"/>
    <w:qFormat/>
    <w:locked/>
    <w:rsid w:val="00aa3604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aa3604"/>
    <w:rPr/>
  </w:style>
  <w:style w:type="character" w:styleId="Style13" w:customStyle="1">
    <w:name w:val="Абзац списка Знак"/>
    <w:link w:val="ListParagraph"/>
    <w:uiPriority w:val="34"/>
    <w:qFormat/>
    <w:locked/>
    <w:rsid w:val="00aa3604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4" w:customStyle="1">
    <w:name w:val="комментарий"/>
    <w:qFormat/>
    <w:rsid w:val="00aa3604"/>
    <w:rPr>
      <w:b/>
      <w:i/>
      <w:shd w:fill="FFFF99" w:val="clear"/>
    </w:rPr>
  </w:style>
  <w:style w:type="character" w:styleId="Style15" w:customStyle="1">
    <w:name w:val="Подподпункт Знак"/>
    <w:link w:val="Style33"/>
    <w:qFormat/>
    <w:locked/>
    <w:rsid w:val="00aa3604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aa3604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aa36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sid w:val="00aa360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4" w:customStyle="1">
    <w:name w:val="Пункт2 Знак"/>
    <w:link w:val="26"/>
    <w:qFormat/>
    <w:rsid w:val="00aa360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sid w:val="00aa3604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aa3604"/>
    <w:rPr>
      <w:color w:val="605E5C"/>
      <w:shd w:fill="E1DFDD" w:val="clear"/>
    </w:rPr>
  </w:style>
  <w:style w:type="character" w:styleId="Style18" w:customStyle="1">
    <w:name w:val="Ссылка указателя"/>
    <w:qFormat/>
    <w:rPr/>
  </w:style>
  <w:style w:type="character" w:styleId="Strong2">
    <w:name w:val="Strong2"/>
    <w:qFormat/>
    <w:rPr>
      <w:b/>
      <w:bCs/>
    </w:rPr>
  </w:style>
  <w:style w:type="character" w:styleId="Strong11">
    <w:name w:val="Strong11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aa3604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aa3604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aa3604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aa3604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"/>
    <w:rsid w:val="00aa3604"/>
    <w:pPr/>
    <w:rPr>
      <w:sz w:val="20"/>
      <w:szCs w:val="20"/>
    </w:rPr>
  </w:style>
  <w:style w:type="paragraph" w:styleId="14" w:customStyle="1">
    <w:name w:val="Шапка 1"/>
    <w:basedOn w:val="Normal"/>
    <w:qFormat/>
    <w:rsid w:val="00aa3604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aa3604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aa3604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9"/>
    <w:uiPriority w:val="10"/>
    <w:qFormat/>
    <w:rsid w:val="00aa3604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2"/>
    <w:rsid w:val="00aa3604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3"/>
    <w:rsid w:val="00aa3604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4"/>
    <w:rsid w:val="00aa36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qFormat/>
    <w:rsid w:val="00aa3604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1"/>
    <w:qFormat/>
    <w:rsid w:val="00aa3604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aa3604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2"/>
    <w:qFormat/>
    <w:rsid w:val="00aa3604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aa3604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aa3604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aa3604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aa3604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aa3604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aa3604"/>
    <w:pPr/>
    <w:rPr/>
  </w:style>
  <w:style w:type="paragraph" w:styleId="Style27" w:customStyle="1">
    <w:name w:val="Приложение к регламенту"/>
    <w:basedOn w:val="Normal"/>
    <w:qFormat/>
    <w:rsid w:val="00aa3604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aa3604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6"/>
    <w:semiHidden/>
    <w:qFormat/>
    <w:rsid w:val="00aa3604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7"/>
    <w:semiHidden/>
    <w:qFormat/>
    <w:rsid w:val="00aa360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semiHidden/>
    <w:qFormat/>
    <w:rsid w:val="00aa3604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aa3604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aa3604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aa3604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aa3604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aa3604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aa3604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aa3604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aa3604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10"/>
    <w:uiPriority w:val="11"/>
    <w:qFormat/>
    <w:rsid w:val="00aa3604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3"/>
    <w:uiPriority w:val="34"/>
    <w:qFormat/>
    <w:rsid w:val="00aa3604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3"/>
    <w:uiPriority w:val="29"/>
    <w:qFormat/>
    <w:rsid w:val="00aa3604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aa3604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aa3604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2"/>
    <w:uiPriority w:val="99"/>
    <w:unhideWhenUsed/>
    <w:qFormat/>
    <w:rsid w:val="00aa3604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aa3604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aa3604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aa3604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aa3604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aa36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aa3604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aa3604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aa3604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aa3604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aa3604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aa3604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15"/>
    <w:qFormat/>
    <w:rsid w:val="00aa3604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aa3604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aa3604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aa3604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aa3604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aa3604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aa3604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aa360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aa3604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aa3604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aa3604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aa3604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aa3604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aa3604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aa3604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aa3604"/>
    <w:pPr>
      <w:spacing w:beforeAutospacing="1" w:afterAutospacing="1"/>
    </w:pPr>
    <w:rPr>
      <w:sz w:val="24"/>
      <w:szCs w:val="24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aa3604"/>
  </w:style>
  <w:style w:type="numbering" w:styleId="211" w:customStyle="1">
    <w:name w:val="Стиль2"/>
    <w:uiPriority w:val="99"/>
    <w:qFormat/>
    <w:rsid w:val="00aa3604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aa360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aa3604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Application>AlterOffice/3.4.0.9$Linux_X86_64 LibreOffice_project/b8daf9e823b1a5463a2f48435ddc2e8696e7d4fc</Application>
  <AppVersion>15.0000</AppVersion>
  <Pages>11</Pages>
  <Words>1120</Words>
  <Characters>7332</Characters>
  <CharactersWithSpaces>8190</CharactersWithSpaces>
  <Paragraphs>281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2025-02-21T11:11:00Z</dcterms:created>
  <dc:creator>Закаев Олег Олегович</dc:creator>
  <dc:description/>
  <dc:language>ru-RU</dc:language>
  <cp:lastModifiedBy>Владимир Викторович Козлихин</cp:lastModifiedBy>
  <dcterms:modified xsi:type="dcterms:W3CDTF">2026-06-19T11:54:32Z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