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расходных материалов и принадлежностей для оборудования связи</w:t>
      </w:r>
      <w:r>
        <w:rPr>
          <w:b/>
          <w:bCs/>
          <w:sz w:val="24"/>
          <w:szCs w:val="24"/>
        </w:rPr>
        <w:t xml:space="preserve"> для филиала ПАО "РусГидро"-"Зейская</w:t>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tabs>
          <w:tab w:val="clear" w:pos="709"/>
          <w:tab w:val="left" w:pos="6926" w:leader="none"/>
        </w:tabs>
        <w:jc w:val="center"/>
        <w:rPr>
          <w:b/>
          <w:sz w:val="24"/>
          <w:szCs w:val="24"/>
        </w:rPr>
      </w:pPr>
      <w:r>
        <w:rPr>
          <w:b/>
          <w:sz w:val="24"/>
          <w:szCs w:val="24"/>
        </w:rPr>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z w:val="24"/>
          <w:szCs w:val="24"/>
        </w:rPr>
      </w:pPr>
      <w:r>
        <w:rPr>
          <w:b/>
          <w:sz w:val="24"/>
          <w:szCs w:val="24"/>
        </w:rPr>
        <w:t xml:space="preserve">Публичное акционерное общество «Федеральная гидрогенерирующая </w:t>
        <w:br/>
        <w:t xml:space="preserve">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xml:space="preserve">, действующего на основании ________, с одной стороны, </w:t>
        <w:br/>
        <w:t>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highlight w:val="none"/>
          <w:shd w:fill="auto" w:val="clear"/>
        </w:rPr>
      </w:pPr>
      <w:r>
        <w:rPr>
          <w:sz w:val="24"/>
          <w:szCs w:val="24"/>
          <w:shd w:fill="auto" w:val="clear"/>
        </w:rPr>
        <w:t xml:space="preserve">совместно в дальнейшем именуемые «Стороны», а по отдельности – «Сторона», </w:t>
        <w:br/>
      </w:r>
      <w:r>
        <w:rPr>
          <w:sz w:val="24"/>
          <w:szCs w:val="24"/>
          <w:shd w:fill="auto" w:val="clear"/>
          <w:lang w:eastAsia="en-US"/>
        </w:rPr>
        <w:t xml:space="preserve">по результатам проведенной Покупателем закупочной процедуры по лоту № ____________ и на основании протокола __________ от «___» _________ г. №_______, </w:t>
      </w:r>
      <w:r>
        <w:rPr>
          <w:sz w:val="24"/>
          <w:szCs w:val="24"/>
          <w:shd w:fill="auto" w:val="clear"/>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br/>
        <w:t>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 xml:space="preserve">от 25.12.1998 № 132, подписываемый Сторонами после завершения приемки Товара </w:t>
        <w:br/>
        <w:t>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br/>
        <w:t xml:space="preserve">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br/>
        <w:t>в собственность Покупателю</w:t>
      </w:r>
      <w:r>
        <w:rPr>
          <w:rFonts w:eastAsia="Calibri"/>
          <w:bCs/>
          <w:sz w:val="24"/>
          <w:szCs w:val="24"/>
          <w:lang w:eastAsia="en-US"/>
        </w:rPr>
        <w:t xml:space="preserve"> </w:t>
      </w:r>
      <w:r>
        <w:rPr>
          <w:rFonts w:eastAsia="Calibri"/>
          <w:b/>
          <w:bCs/>
          <w:i w:val="false"/>
          <w:iCs w:val="false"/>
          <w:sz w:val="24"/>
          <w:szCs w:val="24"/>
          <w:shd w:fill="auto" w:val="clear"/>
          <w:lang w:eastAsia="en-US"/>
        </w:rPr>
        <w:t>расходных материалов и принадлежностей для оборудования связи</w:t>
      </w:r>
      <w:r>
        <w:rPr>
          <w:bCs/>
          <w:sz w:val="24"/>
          <w:szCs w:val="24"/>
          <w:shd w:fill="auto" w:val="clear"/>
        </w:rPr>
        <w:t xml:space="preserve"> (далее – «Тов</w:t>
      </w:r>
      <w:r>
        <w:rPr>
          <w:bCs/>
          <w:sz w:val="24"/>
          <w:szCs w:val="24"/>
        </w:rPr>
        <w:t>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r>
        <w:rPr>
          <w:bCs/>
          <w:sz w:val="24"/>
          <w:szCs w:val="24"/>
          <w:shd w:fill="auto" w:val="clear"/>
        </w:rPr>
        <w:t>676244, Амурская область, г. Зея, склад филиала ПАО «РусГидро»-«Зейская ГЭС»</w:t>
      </w:r>
      <w:r>
        <w:rPr>
          <w:sz w:val="24"/>
          <w:szCs w:val="24"/>
          <w:shd w:fill="auto" w:val="clear"/>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highlight w:val="none"/>
          <w:shd w:fill="auto" w:val="clear"/>
        </w:rPr>
      </w:pPr>
      <w:r>
        <w:rPr>
          <w:bCs/>
          <w:sz w:val="24"/>
          <w:szCs w:val="24"/>
          <w:shd w:fill="auto" w:val="clear"/>
        </w:rPr>
        <w:t>Срок поставки Товара: «03» августа 2027 г.</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shd w:fill="auto" w:val="clear"/>
        </w:rPr>
        <w:t xml:space="preserve">твердой и составляет </w:t>
      </w:r>
      <w:r>
        <w:rPr>
          <w:sz w:val="24"/>
          <w:szCs w:val="24"/>
          <w:shd w:fill="auto" w:val="clear"/>
        </w:rPr>
        <w:t>_______</w:t>
      </w:r>
      <w:r>
        <w:rPr>
          <w:bCs/>
          <w:sz w:val="24"/>
          <w:szCs w:val="24"/>
          <w:shd w:fill="auto" w:val="clear"/>
        </w:rPr>
        <w:t xml:space="preserve"> (</w:t>
      </w:r>
      <w:r>
        <w:rPr>
          <w:sz w:val="24"/>
          <w:szCs w:val="24"/>
          <w:shd w:fill="auto" w:val="clear"/>
        </w:rPr>
        <w:t>__________________</w:t>
      </w:r>
      <w:r>
        <w:rPr>
          <w:bCs/>
          <w:sz w:val="24"/>
          <w:szCs w:val="24"/>
          <w:shd w:fill="auto" w:val="clear"/>
        </w:rPr>
        <w:t xml:space="preserve">) рублей </w:t>
      </w:r>
      <w:r>
        <w:rPr>
          <w:sz w:val="24"/>
          <w:szCs w:val="24"/>
          <w:shd w:fill="auto" w:val="clear"/>
        </w:rPr>
        <w:t>___</w:t>
      </w:r>
      <w:r>
        <w:rPr>
          <w:bCs/>
          <w:sz w:val="24"/>
          <w:szCs w:val="24"/>
          <w:shd w:fill="auto" w:val="clear"/>
        </w:rPr>
        <w:t xml:space="preserve"> </w:t>
      </w:r>
      <w:r>
        <w:rPr>
          <w:bCs/>
          <w:sz w:val="24"/>
          <w:szCs w:val="24"/>
        </w:rPr>
        <w:t>копеек без учета НДС, при этом НДС исчисляется дополнительно по ставке, установленной ст. 164 Налогового кодекса Российской Федерации.</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br/>
        <w:t xml:space="preserve">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w:t>
        <w:br/>
        <w:t xml:space="preserve">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ТОРГ-12/УПД, и суммой ранее уплаченного авансового платежа, выплачиваются Поставщику в течение 7 (семи)/20(двадцати) рабочих дней с даты подписания Сторонами накладной ТОРГ-12/УПД,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0"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0"/>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br/>
        <w:t>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Качество, комплектность, количество и ассортимент поставляемого по Договору Товара должны соответствовать Проектной </w:t>
      </w:r>
      <w:r>
        <w:rPr>
          <w:sz w:val="24"/>
          <w:szCs w:val="24"/>
        </w:rPr>
        <w:t>документации</w:t>
      </w:r>
      <w:r>
        <w:rPr>
          <w:bCs/>
          <w:sz w:val="24"/>
          <w:szCs w:val="24"/>
        </w:rPr>
        <w:t>,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br/>
        <w:t>а также Применимого права.</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br/>
        <w:t>и не обременен правами третьих лиц.</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w:t>
      </w:r>
      <w:r>
        <w:rPr>
          <w:sz w:val="24"/>
          <w:szCs w:val="24"/>
          <w:shd w:fill="auto" w:val="clear"/>
        </w:rPr>
        <w:t xml:space="preserve">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sz w:val="24"/>
          <w:szCs w:val="24"/>
          <w:shd w:fill="auto" w:val="clear"/>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highlight w:val="none"/>
          <w:shd w:fill="auto" w:val="clear"/>
        </w:rPr>
      </w:pPr>
      <w:r>
        <w:rPr>
          <w:sz w:val="24"/>
          <w:szCs w:val="24"/>
          <w:shd w:fill="auto" w:val="clear"/>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shd w:fill="auto" w:val="clear"/>
        </w:rPr>
        <w:t xml:space="preserve">Накладная ТОРГ-12/УПД в __(____) </w:t>
      </w:r>
      <w:r>
        <w:rPr>
          <w:sz w:val="24"/>
          <w:szCs w:val="24"/>
        </w:rPr>
        <w:t>экз.</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надлежащим образом оформленной доверенностью на передачу Товара Покупателю, подписание Акта рекламации. </w:t>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br/>
        <w:t xml:space="preserve">по Договору. Стороны будут рассматривать неявку представителя Поставщика </w:t>
        <w:br/>
        <w:t xml:space="preserve">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bookmarkStart w:id="1"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br/>
        <w:t xml:space="preserve">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Накладной </w:t>
        <w:br/>
        <w:t>ТОРГ-12/УПД.</w:t>
      </w:r>
      <w:bookmarkEnd w:id="2"/>
      <w:r>
        <w:rPr>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shd w:fill="auto" w:val="clear"/>
        </w:rPr>
        <w:t xml:space="preserve">15 (пятнадцати) календарных дней с даты выявления указанных нарушений представить Покупателю необходимые принадлежности и / или документы, </w:t>
        <w:br/>
        <w:t xml:space="preserve">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3" w:name="_Ref361408232"/>
      <w:r>
        <w:rPr>
          <w:sz w:val="24"/>
          <w:szCs w:val="24"/>
          <w:shd w:fill="auto" w:val="clear"/>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shd w:fill="auto" w:val="clear"/>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shd w:fill="auto" w:val="clear"/>
        </w:rPr>
        <w:t xml:space="preserve">Приемка Товара со вскрытием тары и упаковки производится Покупателем </w:t>
        <w:br/>
        <w:t>в присутствии представителя Поставщика в течение 15 (пятнадцати)</w:t>
      </w:r>
      <w:r>
        <w:rPr>
          <w:sz w:val="24"/>
          <w:szCs w:val="24"/>
        </w:rPr>
        <w:t xml:space="preserve">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 xml:space="preserve">Покупатель вправе не производить любые платежи, предусмотренные Договором, </w:t>
        <w:br/>
        <w:t xml:space="preserve">до исполнения Поставщиком своих обязательств по Договору, при этом Покупатель </w:t>
        <w:br/>
        <w:t>не считается просрочившим.</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br/>
        <w:t>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br/>
        <w:t>с возвратом Товара, подлежат возмещению Поставщиком.</w:t>
      </w:r>
    </w:p>
    <w:p>
      <w:pPr>
        <w:pStyle w:val="ListParagraph"/>
        <w:widowControl/>
        <w:numPr>
          <w:ilvl w:val="1"/>
          <w:numId w:val="2"/>
        </w:numPr>
        <w:shd w:val="clear" w:color="auto" w:fill="FFFFFF"/>
        <w:tabs>
          <w:tab w:val="clear" w:pos="709"/>
          <w:tab w:val="left" w:pos="1276" w:leader="none"/>
        </w:tabs>
        <w:ind w:left="0" w:firstLine="709"/>
        <w:jc w:val="both"/>
        <w:rPr>
          <w:b/>
          <w:color w:val="000000"/>
          <w:sz w:val="24"/>
          <w:szCs w:val="24"/>
        </w:rPr>
      </w:pPr>
      <w:r>
        <w:rPr>
          <w:sz w:val="24"/>
          <w:szCs w:val="24"/>
        </w:rPr>
        <w:t xml:space="preserve">По иным вопросам, касающимся приемки Товара по количеству, качеству </w:t>
        <w:br/>
        <w:t xml:space="preserve">и комплектности в части, не противоречащей законодательству Российской Федерации </w:t>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276"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w:t>
      </w:r>
      <w:r>
        <w:rPr>
          <w:sz w:val="24"/>
          <w:szCs w:val="24"/>
          <w:shd w:fill="auto" w:val="clear"/>
        </w:rPr>
        <w:t xml:space="preserve"> ____ (______) месяцев и начинает течь с даты подписания Сторонами Накладной ТОРГ-12/У</w:t>
      </w:r>
      <w:r>
        <w:rPr>
          <w:sz w:val="24"/>
          <w:szCs w:val="24"/>
        </w:rPr>
        <w:t>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br/>
        <w:t xml:space="preserve">к Товару, и Применимого права, возможность эксплуатации (использования) Товара </w:t>
        <w:br/>
        <w:t xml:space="preserve">в соответствии с его целевым назначением, а также несет безусловную ответственность </w:t>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br/>
        <w:t>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br/>
        <w:t xml:space="preserve">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предоставить Покупателю копию(-и) заключения(-ий) </w:t>
        <w:br/>
        <w:t xml:space="preserve">о подтверждении производства Товара на территории Российской Федерации, </w:t>
        <w:br/>
        <w:t>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FootnoteReference"/>
          <w:sz w:val="24"/>
          <w:szCs w:val="24"/>
        </w:rPr>
        <w:footnoteReference w:id="2"/>
      </w:r>
      <w:r>
        <w:rPr>
          <w:sz w:val="24"/>
          <w:szCs w:val="24"/>
        </w:rPr>
        <w:t>.</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w:t>
        <w:br/>
        <w:t xml:space="preserve">100 (ста)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w:t>
        <w:br/>
        <w:t>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3"/>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 xml:space="preserve">с выставленными счетами Поставщика составляет 5 000 000 (Пять миллионов) рублей </w:t>
        <w:br/>
        <w:t xml:space="preserve">и более 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highlight w:val="none"/>
          <w:shd w:fill="auto" w:val="clear"/>
        </w:rPr>
      </w:pPr>
      <w:r>
        <w:rPr>
          <w:sz w:val="24"/>
          <w:szCs w:val="24"/>
          <w:shd w:fill="auto" w:val="clear"/>
        </w:rPr>
        <w:t xml:space="preserve">Стороны вправе изменить способы и порядок обеспечения обязательств </w:t>
        <w:br/>
        <w:t>по Договору, указанные в настоящем разделе, путем подписания дополнительного соглашения к Договору</w:t>
      </w:r>
      <w:r>
        <w:rPr>
          <w:rStyle w:val="FootnoteReference"/>
          <w:sz w:val="24"/>
          <w:szCs w:val="24"/>
          <w:shd w:fill="auto" w:val="clear"/>
        </w:rPr>
        <w:footnoteReference w:id="4"/>
      </w:r>
      <w:r>
        <w:rPr>
          <w:sz w:val="24"/>
          <w:szCs w:val="24"/>
          <w:shd w:fill="auto" w:val="clear"/>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 xml:space="preserve">Принадлежащее Покупателю по Банковской гарантии право требования </w:t>
        <w:br/>
        <w:t>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w:t>
        <w:br/>
        <w:t xml:space="preserve">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pPr>
        <w:pStyle w:val="ListParagraph"/>
        <w:widowControl/>
        <w:numPr>
          <w:ilvl w:val="1"/>
          <w:numId w:val="15"/>
        </w:numPr>
        <w:tabs>
          <w:tab w:val="clear" w:pos="709"/>
          <w:tab w:val="left" w:pos="1276" w:leader="none"/>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br/>
        <w:t>в целом.</w:t>
      </w:r>
    </w:p>
    <w:p>
      <w:pPr>
        <w:pStyle w:val="ListParagraph"/>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15"/>
        </w:numPr>
        <w:tabs>
          <w:tab w:val="clear" w:pos="709"/>
          <w:tab w:val="left" w:pos="1276" w:leader="none"/>
          <w:tab w:val="left" w:pos="1701" w:leader="none"/>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br/>
        <w:t>0,1 (ноль целых и одной десятой) процента с даты, установленной для возврата аванса</w:t>
      </w:r>
      <w:r>
        <w:rPr>
          <w:sz w:val="24"/>
          <w:szCs w:val="24"/>
        </w:rPr>
        <w:t>.</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w:t>
        <w:br/>
        <w:t xml:space="preserve">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pPr>
        <w:pStyle w:val="ListParagraph"/>
        <w:widowControl/>
        <w:numPr>
          <w:ilvl w:val="1"/>
          <w:numId w:val="15"/>
        </w:numPr>
        <w:shd w:val="clear" w:color="auto" w:fill="FFFFFF"/>
        <w:tabs>
          <w:tab w:val="clear" w:pos="709"/>
          <w:tab w:val="left" w:pos="1276" w:leader="none"/>
        </w:tabs>
        <w:ind w:left="0" w:firstLine="709"/>
        <w:jc w:val="both"/>
        <w:rPr>
          <w:bCs/>
          <w:sz w:val="24"/>
          <w:szCs w:val="24"/>
        </w:rPr>
      </w:pPr>
      <w:r>
        <w:rPr>
          <w:bCs/>
          <w:sz w:val="24"/>
          <w:szCs w:val="24"/>
        </w:rPr>
        <w:t>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15"/>
        </w:numPr>
        <w:shd w:val="clear" w:color="auto" w:fill="FFFFFF"/>
        <w:ind w:left="0" w:firstLine="709"/>
        <w:jc w:val="both"/>
        <w:rPr>
          <w:bCs/>
          <w:sz w:val="24"/>
          <w:szCs w:val="24"/>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трех сотых) процента от Цены Договора за каждый день просрочки.</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FootnoteReference"/>
          <w:bCs/>
          <w:sz w:val="24"/>
          <w:szCs w:val="24"/>
        </w:rPr>
        <w:footnoteReference w:id="5"/>
      </w:r>
      <w:r>
        <w:rPr>
          <w:bCs/>
          <w:sz w:val="24"/>
          <w:szCs w:val="24"/>
        </w:rPr>
        <w:t>.</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36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br/>
        <w:t>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shd w:fill="auto" w:val="clear"/>
        </w:rPr>
        <w:t xml:space="preserve">Амурской области в соответствии с законодательством Российской Федерации, </w:t>
        <w:br/>
        <w:t>за исключением споров из Банковской гарантии, подсудность которых предусмотрена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bCs/>
          <w:sz w:val="24"/>
          <w:szCs w:val="24"/>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shd w:fill="auto" w:val="clear"/>
        </w:rPr>
        <w:t>Срок для рассмотрения претензии – 15 (пят</w:t>
      </w:r>
      <w:r>
        <w:rPr>
          <w:bCs/>
          <w:sz w:val="24"/>
          <w:szCs w:val="24"/>
        </w:rPr>
        <w:t xml:space="preserve">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br/>
        <w:t>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w:t>
        <w:br/>
        <w:t>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br/>
        <w:t>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br/>
        <w:t xml:space="preserve">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br/>
        <w:t xml:space="preserve">не позднее 5 (пяти)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Линии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 xml:space="preserve">9.7.2. Специальная форма «обратной связи», размещенная на официальном сайте </w:t>
        <w:br/>
        <w:t>ПАО «РусГидро»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Надлежащим (достаточным) доказательством наличия / возникновения </w:t>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br/>
        <w:t>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36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br/>
        <w:t>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письменному требованию Покупателя уплатить последнему штраф </w:t>
        <w:br/>
        <w:t>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36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br/>
        <w:t xml:space="preserve">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w:t>
        <w:br/>
        <w:t>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установленных Договором, более чем </w:t>
        <w:br/>
        <w:t>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br/>
        <w:t xml:space="preserve">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36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Договор вступает в силу с даты его подписан</w:t>
      </w:r>
      <w:r>
        <w:rPr>
          <w:sz w:val="24"/>
          <w:szCs w:val="24"/>
          <w:shd w:fill="auto" w:val="clear"/>
        </w:rPr>
        <w:t xml:space="preserve">ия Сторонами и действует </w:t>
        <w:br/>
        <w:t xml:space="preserve">до полного исполнения ими принятых на себя обязательств. 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 w:val="left" w:pos="1418" w:leader="none"/>
        </w:tabs>
        <w:snapToGrid w:val="false"/>
        <w:ind w:left="0" w:firstLine="709"/>
        <w:jc w:val="both"/>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6"/>
      </w:r>
      <w:r>
        <w:rPr>
          <w:sz w:val="24"/>
          <w:szCs w:val="24"/>
          <w:shd w:fill="auto" w:val="clear"/>
          <w:lang w:eastAsia="en-US"/>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 w:val="left" w:pos="1985"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 w:val="left" w:pos="1985"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7"/>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8"/>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0"/>
    </w:p>
    <w:p>
      <w:pPr>
        <w:pStyle w:val="Normal"/>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br/>
        <w:t>и внутриобъектового режима, требований охраны труда, пожарной и промышленной безопасности.</w:t>
      </w:r>
    </w:p>
    <w:p>
      <w:pPr>
        <w:pStyle w:val="ListParagraph"/>
        <w:widowControl/>
        <w:numPr>
          <w:ilvl w:val="0"/>
          <w:numId w:val="2"/>
        </w:numPr>
        <w:shd w:val="clear" w:color="auto" w:fill="FFFFFF"/>
        <w:tabs>
          <w:tab w:val="clear" w:pos="709"/>
          <w:tab w:val="left" w:pos="426" w:leader="none"/>
        </w:tabs>
        <w:ind w:left="0" w:hanging="36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зд.2, пом.1 </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Юридический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headerReference w:type="default" r:id="rId2"/>
          <w:headerReference w:type="first" r:id="rId3"/>
          <w:footerReference w:type="default" r:id="rId4"/>
          <w:footnotePr>
            <w:numFmt w:val="decimal"/>
          </w:footnotePr>
          <w:type w:val="nextPage"/>
          <w:pgSz w:w="11906" w:h="16838"/>
          <w:pgMar w:left="1560" w:right="851" w:gutter="0" w:header="709" w:top="1134" w:footer="709" w:bottom="1135"/>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97"/>
        <w:gridCol w:w="633"/>
        <w:gridCol w:w="636"/>
        <w:gridCol w:w="638"/>
        <w:gridCol w:w="799"/>
        <w:gridCol w:w="766"/>
        <w:gridCol w:w="644"/>
        <w:gridCol w:w="762"/>
        <w:gridCol w:w="720"/>
        <w:gridCol w:w="377"/>
        <w:gridCol w:w="156"/>
        <w:gridCol w:w="666"/>
        <w:gridCol w:w="582"/>
        <w:gridCol w:w="531"/>
        <w:gridCol w:w="745"/>
        <w:gridCol w:w="585"/>
      </w:tblGrid>
      <w:tr>
        <w:trPr>
          <w:trHeight w:val="526"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9"/>
            </w:r>
          </w:p>
        </w:tc>
        <w:tc>
          <w:tcPr>
            <w:tcW w:w="7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highlight w:val="none"/>
                <w:shd w:fill="auto" w:val="clear"/>
              </w:rPr>
            </w:pPr>
            <w:r>
              <w:rPr>
                <w:b/>
                <w:bCs/>
                <w:shd w:fill="auto" w:val="clear"/>
              </w:rPr>
            </w:r>
          </w:p>
          <w:p>
            <w:pPr>
              <w:pStyle w:val="Normal"/>
              <w:widowControl w:val="false"/>
              <w:jc w:val="center"/>
              <w:rPr>
                <w:highlight w:val="none"/>
                <w:shd w:fill="auto" w:val="clear"/>
              </w:rPr>
            </w:pPr>
            <w:r>
              <w:rPr>
                <w:bCs/>
                <w:shd w:fill="auto" w:val="clear"/>
              </w:rPr>
              <w:t>Порядковый номер(а) реестровой(ых) записи(ей)</w:t>
            </w:r>
            <w:r>
              <w:rPr>
                <w:rStyle w:val="FootnoteReference"/>
                <w:bCs/>
                <w:shd w:fill="auto" w:val="clear"/>
              </w:rPr>
              <w:footnoteReference w:id="10"/>
            </w:r>
          </w:p>
          <w:p>
            <w:pPr>
              <w:pStyle w:val="Normal"/>
              <w:widowControl w:val="false"/>
              <w:jc w:val="center"/>
              <w:rPr>
                <w:bCs/>
                <w:highlight w:val="none"/>
                <w:shd w:fill="auto" w:val="clear"/>
              </w:rPr>
            </w:pPr>
            <w:r>
              <w:rPr>
                <w:bCs/>
                <w:shd w:fill="auto" w:val="clear"/>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3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9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6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3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637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none"/>
                <w:shd w:fill="auto" w:val="clear"/>
              </w:rPr>
            </w:pPr>
            <w:r>
              <w:rPr>
                <w:shd w:fill="auto" w:val="clear"/>
              </w:rPr>
              <w:t>Итого стоимость всего Товара (с учетом доставки), руб. с НДС*:</w:t>
            </w:r>
          </w:p>
        </w:tc>
        <w:tc>
          <w:tcPr>
            <w:tcW w:w="326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r>
    </w:tbl>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680" w:hanging="0"/>
        <w:jc w:val="both"/>
        <w:rPr>
          <w:i/>
          <w:i/>
          <w:iCs/>
          <w:sz w:val="20"/>
          <w:szCs w:val="20"/>
          <w:highlight w:val="none"/>
          <w:shd w:fill="auto" w:val="clear"/>
        </w:rPr>
      </w:pPr>
      <w:r>
        <w:rPr>
          <w:i/>
          <w:iCs/>
          <w:sz w:val="20"/>
          <w:szCs w:val="20"/>
          <w:shd w:fill="auto" w:val="clear"/>
        </w:rPr>
      </w:r>
    </w:p>
    <w:p>
      <w:pPr>
        <w:pStyle w:val="Normal"/>
        <w:rPr>
          <w:i/>
          <w:i/>
          <w:sz w:val="22"/>
          <w:szCs w:val="22"/>
          <w:highlight w:val="lightGray"/>
        </w:rPr>
      </w:pPr>
      <w:r>
        <w:rPr>
          <w:i/>
          <w:sz w:val="22"/>
          <w:szCs w:val="22"/>
          <w:shd w:fill="auto"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jc w:val="both"/>
        <w:rPr>
          <w:i/>
          <w:i/>
          <w:sz w:val="22"/>
          <w:szCs w:val="22"/>
        </w:rPr>
      </w:pPr>
      <w:r>
        <w:rPr>
          <w:i/>
          <w:sz w:val="22"/>
          <w:szCs w:val="22"/>
          <w:shd w:fill="auto" w:val="clear"/>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3</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r>
        <w:rPr>
          <w:rStyle w:val="FootnoteReference"/>
          <w:b/>
          <w:bCs/>
          <w:sz w:val="24"/>
          <w:szCs w:val="24"/>
        </w:rPr>
        <w:footnoteReference w:id="11"/>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12"/>
      </w:r>
      <w:r>
        <w:rPr>
          <w:sz w:val="24"/>
          <w:szCs w:val="24"/>
        </w:rPr>
        <w:t>, а также соответствовать следующим критериям:</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b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w:t>
        <w:br/>
        <w:t>213-ФЗ).</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5">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3"/>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13"/>
      </w:r>
      <w:r>
        <w:rPr>
          <w:sz w:val="24"/>
          <w:szCs w:val="24"/>
        </w:rPr>
        <w:t xml:space="preserve">. </w:t>
      </w:r>
    </w:p>
    <w:p>
      <w:pPr>
        <w:pStyle w:val="Normal"/>
        <w:widowControl/>
        <w:numPr>
          <w:ilvl w:val="1"/>
          <w:numId w:val="13"/>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14"/>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Не иметь просроченную задолженность перед Заказчиком и компаниями Группы РусГидро.</w:t>
      </w:r>
    </w:p>
    <w:p>
      <w:pPr>
        <w:pStyle w:val="Normal"/>
        <w:widowControl/>
        <w:numPr>
          <w:ilvl w:val="1"/>
          <w:numId w:val="13"/>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15"/>
      </w:r>
      <w:r>
        <w:rPr>
          <w:sz w:val="24"/>
          <w:szCs w:val="24"/>
        </w:rPr>
        <w:t>.</w:t>
      </w:r>
    </w:p>
    <w:p>
      <w:pPr>
        <w:pStyle w:val="Normal"/>
        <w:widowControl/>
        <w:numPr>
          <w:ilvl w:val="1"/>
          <w:numId w:val="13"/>
        </w:numPr>
        <w:tabs>
          <w:tab w:val="clear" w:pos="709"/>
          <w:tab w:val="left" w:pos="1134" w:leader="none"/>
        </w:tabs>
        <w:ind w:left="0" w:firstLine="710"/>
        <w:jc w:val="both"/>
        <w:rPr>
          <w:sz w:val="24"/>
          <w:szCs w:val="24"/>
        </w:rPr>
      </w:pPr>
      <w:r>
        <w:rPr>
          <w:sz w:val="24"/>
          <w:szCs w:val="24"/>
        </w:rPr>
        <w:t xml:space="preserve">Требования, установленные пунктами 2 – 4 настоящих Критериев, </w:t>
        <w:br/>
        <w:t>не распространяются на кредитные организации:</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br/>
        <w:t xml:space="preserve">в которой могут размещаться средства федерального бюджета на банковских депозитах </w:t>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 xml:space="preserve">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br/>
        <w:t>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4"/>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4"/>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4"/>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3"/>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16"/>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6">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3894"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17"/>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8789"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8789"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529"/>
        <w:rPr>
          <w:sz w:val="22"/>
          <w:szCs w:val="22"/>
        </w:rPr>
      </w:pPr>
      <w:r>
        <w:rPr>
          <w:sz w:val="22"/>
          <w:szCs w:val="22"/>
        </w:rPr>
        <w:t>Приложение № 4</w:t>
      </w:r>
    </w:p>
    <w:p>
      <w:pPr>
        <w:pStyle w:val="Normal"/>
        <w:suppressAutoHyphens w:val="true"/>
        <w:ind w:right="96" w:firstLine="5529"/>
        <w:rPr>
          <w:sz w:val="22"/>
          <w:szCs w:val="22"/>
        </w:rPr>
      </w:pPr>
      <w:r>
        <w:rPr>
          <w:sz w:val="22"/>
          <w:szCs w:val="22"/>
        </w:rPr>
        <w:t>к Договору поставки</w:t>
      </w:r>
    </w:p>
    <w:p>
      <w:pPr>
        <w:pStyle w:val="Normal"/>
        <w:ind w:firstLine="5529"/>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1.1. Нарушение ППБ без возникновения пожара</w:t>
            </w:r>
          </w:p>
          <w:p>
            <w:pPr>
              <w:pStyle w:val="Normal"/>
              <w:widowControl w:val="false"/>
              <w:jc w:val="both"/>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br/>
              <w:t>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widowControl/>
        <w:rPr>
          <w:b/>
          <w:bCs/>
          <w:sz w:val="24"/>
          <w:szCs w:val="24"/>
        </w:rPr>
      </w:pPr>
      <w:r>
        <w:rPr/>
      </w:r>
    </w:p>
    <w:sectPr>
      <w:headerReference w:type="default" r:id="rId7"/>
      <w:headerReference w:type="first" r:id="rId8"/>
      <w:footerReference w:type="default" r:id="rId9"/>
      <w:footerReference w:type="first" r:id="rId10"/>
      <w:footnotePr>
        <w:numFmt w:val="decimal"/>
      </w:footnotePr>
      <w:type w:val="nextPage"/>
      <w:pgSz w:w="11906" w:h="16838"/>
      <w:pgMar w:left="1418" w:right="851" w:gutter="0" w:header="567" w:top="1134" w:footer="314" w:bottom="851"/>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25</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 xml:space="preserve">Указанное условие включается в Договор, если Договором предусмотрена поставка оборудования, входящего в перечень, утвержденный приказом Минпромторга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3">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4">
    <w:p>
      <w:pPr>
        <w:pStyle w:val="FootnoteText"/>
        <w:jc w:val="both"/>
        <w:rPr/>
      </w:pPr>
      <w:r>
        <w:rPr>
          <w:rStyle w:val="Style14"/>
        </w:rPr>
        <w:footnoteRef/>
      </w:r>
      <w:r>
        <w:rPr/>
        <w:t xml:space="preserve"> </w:t>
      </w:r>
      <w:r>
        <w:rPr>
          <w:shd w:fill="auto" w:val="clear"/>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p>
  </w:footnote>
  <w:footnote w:id="5">
    <w:p>
      <w:pPr>
        <w:pStyle w:val="FootnoteText"/>
        <w:jc w:val="both"/>
        <w:rPr/>
      </w:pPr>
      <w:r>
        <w:rPr>
          <w:rStyle w:val="Style14"/>
        </w:rPr>
        <w:footnoteRef/>
      </w:r>
      <w:r>
        <w:rPr/>
        <w:t xml:space="preserve"> </w:t>
      </w:r>
      <w:r>
        <w:rPr/>
        <w:t>Указанное условие включается в Договор, если в пункте 4.8 Договора установлена обязанность Поставщика предоставить Покупателю копию(-и) заключения(-ий) о подтверждении производства Товара на территории Российской Федерации, выданного(-ых) Минпромторгом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6">
    <w:p>
      <w:pPr>
        <w:pStyle w:val="FootnoteText"/>
        <w:jc w:val="both"/>
        <w:rPr/>
      </w:pPr>
      <w:r>
        <w:rPr>
          <w:rStyle w:val="Style14"/>
        </w:rPr>
        <w:footnoteRef/>
      </w:r>
      <w:r>
        <w:rPr/>
        <w:t xml:space="preserve"> </w:t>
      </w:r>
      <w:r>
        <w:rPr>
          <w:shd w:fill="auto" w:val="clear"/>
        </w:rPr>
        <w:t>Применяется в случае наличия между Сторонами заключенного соглашения о переходе на электронный</w:t>
      </w:r>
      <w:r>
        <w:rPr>
          <w:highlight w:val="lightGray"/>
        </w:rPr>
        <w:t xml:space="preserve"> </w:t>
      </w:r>
      <w:r>
        <w:rPr>
          <w:shd w:fill="auto" w:val="clear"/>
        </w:rPr>
        <w:t>юридически значимый документооборот (Соглашения об ЭДО).</w:t>
      </w:r>
    </w:p>
  </w:footnote>
  <w:footnote w:id="7">
    <w:p>
      <w:pPr>
        <w:pStyle w:val="FootnoteText"/>
        <w:jc w:val="both"/>
        <w:rPr/>
      </w:pPr>
      <w:r>
        <w:rPr>
          <w:rStyle w:val="Style14"/>
        </w:rPr>
        <w:footnoteRef/>
      </w:r>
      <w:r>
        <w:rPr/>
        <w:t xml:space="preserve"> </w:t>
      </w:r>
      <w:r>
        <w:rPr/>
        <w:t>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8">
    <w:p>
      <w:pPr>
        <w:pStyle w:val="FootnoteText"/>
        <w:jc w:val="both"/>
        <w:rPr/>
      </w:pPr>
      <w:r>
        <w:rPr>
          <w:rStyle w:val="Style14"/>
        </w:rPr>
        <w:footnoteRef/>
      </w:r>
      <w:r>
        <w:rPr/>
        <w:t xml:space="preserve"> </w:t>
      </w:r>
      <w:r>
        <w:rPr>
          <w:shd w:fill="auto" w:val="clear"/>
        </w:rPr>
        <w:t>Применяется в случае подписания собственноручно без использования усиленных квалифицированных электронных подписей (УКЭП).</w:t>
      </w:r>
    </w:p>
  </w:footnote>
  <w:footnote w:id="9">
    <w:p>
      <w:pPr>
        <w:pStyle w:val="FootnoteText"/>
        <w:jc w:val="both"/>
        <w:rPr/>
      </w:pPr>
      <w:r>
        <w:rPr>
          <w:rStyle w:val="Style14"/>
        </w:rPr>
        <w:footnoteRef/>
      </w:r>
      <w:r>
        <w:rPr/>
        <w:t xml:space="preserve"> </w:t>
      </w:r>
      <w:r>
        <w:rPr/>
        <w:t xml:space="preserve">В соответствии с Общероссийским классификатором стран мира (утв. постановлением Госстандарта России </w:t>
        <w:br/>
        <w:t>от 14.12.2001 № 529-ст).</w:t>
      </w:r>
    </w:p>
  </w:footnote>
  <w:footnote w:id="10">
    <w:p>
      <w:pPr>
        <w:pStyle w:val="FootnoteText"/>
        <w:jc w:val="both"/>
        <w:rPr/>
      </w:pPr>
      <w:r>
        <w:rPr>
          <w:rStyle w:val="Style14"/>
        </w:rPr>
        <w:footnoteRef/>
      </w:r>
      <w:r>
        <w:rPr/>
        <w:t xml:space="preserve"> </w:t>
      </w:r>
      <w:r>
        <w:rPr>
          <w:bCs/>
        </w:rPr>
        <w:t>Порядковый номер (номера) реестровой записи (реестровых записей), под которой (которыми) Товар  включен</w:t>
      </w:r>
      <w:bookmarkStart w:id="11" w:name="_GoBack_Копия_1_Копия_1_Копия_1_Копия_1_"/>
      <w:bookmarkEnd w:id="11"/>
      <w:r>
        <w:rPr>
          <w:bCs/>
        </w:rPr>
        <w:t xml:space="preserve">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11">
    <w:p>
      <w:pPr>
        <w:pStyle w:val="FootnoteText"/>
        <w:jc w:val="both"/>
        <w:rPr/>
      </w:pPr>
      <w:r>
        <w:rPr>
          <w:rStyle w:val="Style14"/>
        </w:rPr>
        <w:footnoteRef/>
      </w:r>
      <w:r>
        <w:rPr/>
        <w:t xml:space="preserve"> </w:t>
      </w:r>
      <w:r>
        <w:rPr/>
        <w:t xml:space="preserve">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br/>
        <w:t>по которым предусмотрены федеральным законом от 18.07.2011 № 223-ФЗ «О закупках товаров, работ, услуг отдельными видами юридических лиц».</w:t>
      </w:r>
    </w:p>
  </w:footnote>
  <w:footnote w:id="12">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Заказчика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w:t>
      </w:r>
    </w:p>
  </w:footnote>
  <w:footnote w:id="13">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14">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15">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16">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17">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64" w:leader="none"/>
      </w:tabs>
      <w:ind w:left="8364" w:hanging="426"/>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4">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5">
    <w:lvl w:ilvl="0">
      <w:start w:val="6"/>
      <w:numFmt w:val="decimal"/>
      <w:lvlText w:val="%1."/>
      <w:lvlJc w:val="left"/>
      <w:pPr>
        <w:tabs>
          <w:tab w:val="num" w:pos="0"/>
        </w:tabs>
        <w:ind w:left="360" w:hanging="360"/>
      </w:pPr>
      <w:rPr/>
    </w:lvl>
    <w:lvl w:ilvl="1">
      <w:start w:val="5"/>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hyperlink" Target="http://www.cbr.ru/" TargetMode="External"/><Relationship Id="rId6" Type="http://schemas.openxmlformats.org/officeDocument/2006/relationships/hyperlink" Target="http://www.cbr.ru/" TargetMode="Externa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DC28637-82A2-4882-B880-456EC7FD591C}">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478</TotalTime>
  <Application>AlterOffice/3.4.0.9$Linux_X86_64 LibreOffice_project/b8daf9e823b1a5463a2f48435ddc2e8696e7d4fc</Application>
  <AppVersion>15.0000</AppVersion>
  <Pages>25</Pages>
  <Words>9121</Words>
  <Characters>65670</Characters>
  <CharactersWithSpaces>74507</CharactersWithSpaces>
  <Paragraphs>421</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2024-04-03T13:12:00Z</dcterms:created>
  <dc:creator>tsypilev_ag</dc:creator>
  <dc:description/>
  <dc:language>ru-RU</dc:language>
  <cp:lastModifiedBy>budnikovanv@corp.gidroogk.com</cp:lastModifiedBy>
  <cp:lastPrinted>2018-05-22T09:46:00Z</cp:lastPrinted>
  <dcterms:modified xsi:type="dcterms:W3CDTF">2026-06-23T14:42:49Z</dcterms:modified>
  <cp:revision>55</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