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</w:t>
      </w:r>
      <w:r>
        <w:rPr>
          <w:rFonts w:eastAsia="Calibri"/>
          <w:b/>
          <w:shd w:fill="auto" w:val="clear"/>
        </w:rPr>
        <w:t>2 26.30.30.190 Пос</w:t>
      </w:r>
      <w:r>
        <w:rPr>
          <w:rFonts w:eastAsia="Calibri"/>
          <w:b/>
        </w:rPr>
        <w:t>тавка расходных материалов и принадлежностей для оборудования связи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расходных материалов и принадлежностей для оборудования связи.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Начало срока поставки – </w:t>
      </w:r>
      <w:r>
        <w:rPr>
          <w:sz w:val="24"/>
          <w:szCs w:val="24"/>
        </w:rPr>
        <w:t>с даты заключения договора</w:t>
      </w:r>
      <w:r>
        <w:rPr>
          <w:sz w:val="24"/>
          <w:szCs w:val="24"/>
        </w:rPr>
        <w:t>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03.08.202</w:t>
      </w:r>
      <w:r>
        <w:rPr>
          <w:sz w:val="24"/>
          <w:szCs w:val="24"/>
        </w:rPr>
        <w:t>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5"/>
        <w:gridCol w:w="1665"/>
        <w:gridCol w:w="35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18279014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AlterOffice/3.4.0.9$Linux_X86_64 LibreOffice_project/b8daf9e823b1a5463a2f48435ddc2e8696e7d4fc</Application>
  <AppVersion>15.0000</AppVersion>
  <Pages>6</Pages>
  <Words>522</Words>
  <Characters>3512</Characters>
  <CharactersWithSpaces>3950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2026-06-17T14:17:53Z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