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48" w:rsidRDefault="00BF1DE1">
      <w:pPr>
        <w:keepNext/>
        <w:keepLines/>
        <w:ind w:firstLine="708"/>
        <w:jc w:val="right"/>
        <w:rPr>
          <w:rFonts w:eastAsia="Calibri"/>
          <w:szCs w:val="26"/>
        </w:rPr>
      </w:pPr>
      <w:r>
        <w:rPr>
          <w:rFonts w:eastAsia="Calibri"/>
          <w:szCs w:val="26"/>
        </w:rPr>
        <w:t xml:space="preserve">                </w:t>
      </w:r>
      <w:r>
        <w:rPr>
          <w:rFonts w:eastAsia="Calibri"/>
          <w:sz w:val="32"/>
          <w:szCs w:val="26"/>
        </w:rPr>
        <w:t>«УТВЕРЖДАЮ»</w:t>
      </w:r>
      <w:r>
        <w:rPr>
          <w:rFonts w:eastAsia="Calibri"/>
          <w:sz w:val="32"/>
          <w:szCs w:val="26"/>
        </w:rPr>
        <w:tab/>
      </w:r>
    </w:p>
    <w:p w:rsidR="00E97D48" w:rsidRDefault="00BF1DE1">
      <w:pPr>
        <w:keepNext/>
        <w:keepLines/>
        <w:jc w:val="right"/>
        <w:rPr>
          <w:rFonts w:eastAsia="Calibri"/>
          <w:sz w:val="32"/>
          <w:szCs w:val="26"/>
        </w:rPr>
      </w:pPr>
      <w:r>
        <w:rPr>
          <w:rFonts w:eastAsia="Calibri"/>
          <w:sz w:val="32"/>
          <w:szCs w:val="26"/>
        </w:rPr>
        <w:t>Главный инженер</w:t>
      </w:r>
    </w:p>
    <w:p w:rsidR="00E97D48" w:rsidRDefault="00BF1DE1">
      <w:pPr>
        <w:keepNext/>
        <w:keepLines/>
        <w:jc w:val="right"/>
        <w:rPr>
          <w:rFonts w:eastAsia="Calibri"/>
          <w:sz w:val="32"/>
          <w:szCs w:val="26"/>
        </w:rPr>
      </w:pPr>
      <w:r>
        <w:rPr>
          <w:rFonts w:eastAsia="Calibri"/>
          <w:sz w:val="32"/>
          <w:szCs w:val="26"/>
        </w:rPr>
        <w:t>Западных электрических сетей</w:t>
      </w:r>
    </w:p>
    <w:p w:rsidR="00E97D48" w:rsidRDefault="00BF1DE1">
      <w:pPr>
        <w:keepNext/>
        <w:keepLines/>
        <w:jc w:val="right"/>
        <w:rPr>
          <w:rFonts w:eastAsia="Calibri"/>
          <w:sz w:val="32"/>
          <w:szCs w:val="26"/>
        </w:rPr>
      </w:pPr>
      <w:r>
        <w:rPr>
          <w:rFonts w:eastAsia="Calibri"/>
          <w:sz w:val="32"/>
          <w:szCs w:val="26"/>
        </w:rPr>
        <w:t>ПАО «Якутскэнерго»</w:t>
      </w:r>
    </w:p>
    <w:p w:rsidR="00E97D48" w:rsidRDefault="00BF1DE1">
      <w:pPr>
        <w:keepNext/>
        <w:keepLines/>
        <w:jc w:val="right"/>
        <w:rPr>
          <w:rFonts w:eastAsia="Calibri"/>
          <w:sz w:val="32"/>
          <w:szCs w:val="26"/>
        </w:rPr>
      </w:pPr>
      <w:r>
        <w:rPr>
          <w:rFonts w:eastAsia="Calibri"/>
          <w:sz w:val="32"/>
          <w:szCs w:val="26"/>
        </w:rPr>
        <w:t>_______________Ж.Н. Доржиев</w:t>
      </w:r>
    </w:p>
    <w:p w:rsidR="00E97D48" w:rsidRDefault="00BF1DE1">
      <w:pPr>
        <w:keepNext/>
        <w:keepLines/>
        <w:jc w:val="right"/>
        <w:rPr>
          <w:rFonts w:eastAsia="Calibri"/>
          <w:b/>
          <w:szCs w:val="26"/>
        </w:rPr>
      </w:pPr>
      <w:r>
        <w:rPr>
          <w:rFonts w:eastAsia="Calibri"/>
          <w:sz w:val="32"/>
          <w:szCs w:val="26"/>
        </w:rPr>
        <w:t>«_____» ____________20_____г.</w:t>
      </w: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BF1DE1">
      <w:pPr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Технические требования на оказание услуг</w:t>
      </w: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</w:rPr>
      </w:pPr>
    </w:p>
    <w:p w:rsidR="00E97D48" w:rsidRDefault="00BF1DE1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ОКПД2 71.12.40.120 Поверка измерительных трансформаторов тока, трансформаторов напряжения Филиала ПАО "Якутскэнерго" Западные Электрические Сети </w:t>
      </w:r>
    </w:p>
    <w:p w:rsidR="00E97D48" w:rsidRDefault="00E97D48">
      <w:pPr>
        <w:jc w:val="center"/>
        <w:rPr>
          <w:b/>
          <w:color w:val="000000" w:themeColor="text1"/>
          <w:sz w:val="26"/>
          <w:szCs w:val="26"/>
        </w:rPr>
      </w:pPr>
    </w:p>
    <w:p w:rsidR="00E97D48" w:rsidRDefault="00BF1DE1">
      <w:pPr>
        <w:jc w:val="center"/>
        <w:rPr>
          <w:color w:val="000000" w:themeColor="text1"/>
          <w:sz w:val="26"/>
          <w:szCs w:val="26"/>
          <w:highlight w:val="green"/>
        </w:rPr>
      </w:pPr>
      <w:r>
        <w:rPr>
          <w:b/>
          <w:color w:val="000000" w:themeColor="text1"/>
          <w:sz w:val="26"/>
          <w:szCs w:val="26"/>
        </w:rPr>
        <w:t xml:space="preserve">Лот № </w:t>
      </w:r>
    </w:p>
    <w:p w:rsidR="00E97D48" w:rsidRDefault="00E97D48">
      <w:pPr>
        <w:jc w:val="center"/>
        <w:rPr>
          <w:color w:val="000000" w:themeColor="text1"/>
          <w:sz w:val="26"/>
          <w:szCs w:val="26"/>
          <w:highlight w:val="green"/>
        </w:rPr>
      </w:pPr>
    </w:p>
    <w:p w:rsidR="00E97D48" w:rsidRDefault="00E97D48">
      <w:pPr>
        <w:jc w:val="center"/>
        <w:rPr>
          <w:color w:val="000000" w:themeColor="text1"/>
          <w:sz w:val="26"/>
          <w:szCs w:val="26"/>
          <w:highlight w:val="green"/>
        </w:rPr>
      </w:pPr>
    </w:p>
    <w:p w:rsidR="00E97D48" w:rsidRDefault="00BF1DE1">
      <w:pPr>
        <w:rPr>
          <w:color w:val="000000" w:themeColor="text1"/>
          <w:sz w:val="26"/>
          <w:szCs w:val="26"/>
        </w:rPr>
      </w:pPr>
      <w:r>
        <w:br w:type="page"/>
      </w:r>
    </w:p>
    <w:p w:rsidR="00E97D48" w:rsidRDefault="00BF1DE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СОДЕРЖАНИЕ</w:t>
      </w:r>
    </w:p>
    <w:p w:rsidR="00E97D48" w:rsidRDefault="00E97D48">
      <w:pPr>
        <w:jc w:val="center"/>
        <w:rPr>
          <w:b/>
          <w:color w:val="000000" w:themeColor="text1"/>
          <w:sz w:val="24"/>
          <w:szCs w:val="24"/>
        </w:rPr>
      </w:pPr>
    </w:p>
    <w:sdt>
      <w:sdtPr>
        <w:id w:val="-1428801587"/>
        <w:docPartObj>
          <w:docPartGallery w:val="Table of Contents"/>
          <w:docPartUnique/>
        </w:docPartObj>
      </w:sdtPr>
      <w:sdtEndPr/>
      <w:sdtContent>
        <w:p w:rsidR="00E97D48" w:rsidRDefault="00BF1DE1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  <w:sz w:val="20"/>
              <w:szCs w:val="20"/>
            </w:rPr>
            <w:instrText xml:space="preserve"> TOC \z \o "1-4" \u \h</w:instrText>
          </w:r>
          <w:r>
            <w:rPr>
              <w:rStyle w:val="affc"/>
              <w:rFonts w:eastAsia="Calibri"/>
              <w:sz w:val="20"/>
              <w:szCs w:val="20"/>
            </w:rPr>
            <w:fldChar w:fldCharType="separate"/>
          </w:r>
          <w:hyperlink w:anchor="_Toc224637845">
            <w:r>
              <w:rPr>
                <w:rStyle w:val="affc"/>
                <w:rFonts w:eastAsia="Calibri"/>
                <w:webHidden/>
                <w:sz w:val="20"/>
                <w:szCs w:val="20"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0"/>
                <w:szCs w:val="20"/>
              </w:rPr>
              <w:tab/>
            </w:r>
            <w:r>
              <w:rPr>
                <w:rStyle w:val="affc"/>
                <w:rFonts w:eastAsia="Calibri"/>
                <w:sz w:val="20"/>
                <w:szCs w:val="20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0"/>
                <w:szCs w:val="2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41"/>
            <w:rPr>
              <w:rFonts w:asciiTheme="minorHAnsi" w:eastAsiaTheme="minorEastAsia" w:hAnsiTheme="minorHAnsi" w:cstheme="minorBidi"/>
            </w:rPr>
          </w:pPr>
          <w:hyperlink w:anchor="_Toc224637846">
            <w:r>
              <w:rPr>
                <w:rStyle w:val="affc"/>
                <w:rFonts w:eastAsia="Calibri"/>
                <w:iCs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41"/>
            <w:rPr>
              <w:rFonts w:asciiTheme="minorHAnsi" w:eastAsiaTheme="minorEastAsia" w:hAnsiTheme="minorHAnsi" w:cstheme="minorBidi"/>
            </w:rPr>
          </w:pPr>
          <w:hyperlink w:anchor="_Toc224637847">
            <w:r>
              <w:rPr>
                <w:rStyle w:val="affc"/>
                <w:rFonts w:eastAsia="Calibri"/>
                <w:iCs/>
                <w:webHidden/>
              </w:rPr>
              <w:t>1.2.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41"/>
            <w:rPr>
              <w:rFonts w:asciiTheme="minorHAnsi" w:eastAsiaTheme="minorEastAsia" w:hAnsiTheme="minorHAnsi" w:cstheme="minorBidi"/>
            </w:rPr>
          </w:pPr>
          <w:hyperlink w:anchor="_Toc224637848">
            <w:r>
              <w:rPr>
                <w:rStyle w:val="affc"/>
                <w:rFonts w:eastAsia="Calibri"/>
                <w:iCs/>
                <w:webHidden/>
              </w:rPr>
              <w:t>1.3.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rFonts w:eastAsia="Calibri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_Toc224637848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41"/>
            <w:rPr>
              <w:rFonts w:asciiTheme="minorHAnsi" w:eastAsiaTheme="minorEastAsia" w:hAnsiTheme="minorHAnsi" w:cstheme="minorBidi"/>
            </w:rPr>
          </w:pPr>
          <w:hyperlink w:anchor="_Toc224637849">
            <w:r>
              <w:rPr>
                <w:rStyle w:val="affc"/>
                <w:rFonts w:eastAsia="Calibri"/>
                <w:iCs/>
                <w:webHidden/>
              </w:rPr>
              <w:t>1.4.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rFonts w:eastAsia="Calibri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</w:t>
            </w:r>
            <w:r>
              <w:rPr>
                <w:rStyle w:val="affc"/>
                <w:rFonts w:eastAsia="Calibri"/>
              </w:rPr>
              <w:t>предоставляемых заказчиком на этапе исполнения договора).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_Toc224637849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</w:rPr>
          </w:pPr>
          <w:hyperlink w:anchor="_Toc224637850">
            <w:r>
              <w:rPr>
                <w:rStyle w:val="affc"/>
                <w:rFonts w:eastAsia="Calibri"/>
                <w:webHidden/>
                <w:sz w:val="20"/>
                <w:szCs w:val="20"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0"/>
                <w:szCs w:val="20"/>
              </w:rPr>
              <w:tab/>
            </w:r>
            <w:r>
              <w:rPr>
                <w:rStyle w:val="affc"/>
                <w:rFonts w:eastAsia="Calibri"/>
                <w:iCs/>
                <w:sz w:val="20"/>
                <w:szCs w:val="20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_Toc224637850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41"/>
            <w:rPr>
              <w:rFonts w:asciiTheme="minorHAnsi" w:eastAsiaTheme="minorEastAsia" w:hAnsiTheme="minorHAnsi" w:cstheme="minorBidi"/>
            </w:rPr>
          </w:pPr>
          <w:hyperlink w:anchor="_Toc224637851">
            <w:r>
              <w:rPr>
                <w:rStyle w:val="affc"/>
                <w:rFonts w:eastAsia="Calibri"/>
                <w:iCs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38"/>
            <w:rPr>
              <w:rFonts w:asciiTheme="minorHAnsi" w:eastAsiaTheme="minorEastAsia" w:hAnsiTheme="minorHAnsi" w:cstheme="minorBidi"/>
            </w:rPr>
          </w:pPr>
          <w:hyperlink w:anchor="_Toc224637852">
            <w:r>
              <w:rPr>
                <w:rStyle w:val="affc"/>
                <w:rFonts w:eastAsia="Calibri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_Toc224637852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38"/>
            <w:rPr>
              <w:rFonts w:asciiTheme="minorHAnsi" w:eastAsiaTheme="minorEastAsia" w:hAnsiTheme="minorHAnsi" w:cstheme="minorBidi"/>
            </w:rPr>
          </w:pPr>
          <w:hyperlink w:anchor="_Toc224637853">
            <w:r>
              <w:rPr>
                <w:rStyle w:val="affc"/>
                <w:rFonts w:eastAsia="Calibri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_Toc224637853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41"/>
            <w:rPr>
              <w:rFonts w:asciiTheme="minorHAnsi" w:eastAsiaTheme="minorEastAsia" w:hAnsiTheme="minorHAnsi" w:cstheme="minorBidi"/>
            </w:rPr>
          </w:pPr>
          <w:hyperlink w:anchor="_Toc224637854">
            <w:r>
              <w:rPr>
                <w:rStyle w:val="affc"/>
                <w:rFonts w:eastAsia="Calibri"/>
                <w:iCs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rFonts w:eastAsia="Calibri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_Toc224637854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</w:rPr>
          </w:pPr>
          <w:hyperlink w:anchor="_Toc224637855">
            <w:r>
              <w:rPr>
                <w:rStyle w:val="affc"/>
                <w:rFonts w:eastAsia="Calibri"/>
                <w:webHidden/>
                <w:sz w:val="20"/>
                <w:szCs w:val="20"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0"/>
                <w:szCs w:val="20"/>
              </w:rPr>
              <w:tab/>
            </w:r>
            <w:r>
              <w:rPr>
                <w:rStyle w:val="affc"/>
                <w:rFonts w:eastAsia="Calibri"/>
                <w:iCs/>
                <w:sz w:val="20"/>
                <w:szCs w:val="20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</w:instrText>
            </w:r>
            <w:r>
              <w:rPr>
                <w:webHidden/>
              </w:rPr>
              <w:instrText>24637855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E97D48" w:rsidRDefault="00BF1DE1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</w:rPr>
          </w:pPr>
          <w:hyperlink w:anchor="_Toc224637856">
            <w:r>
              <w:rPr>
                <w:rStyle w:val="affc"/>
                <w:rFonts w:eastAsia="Calibri"/>
                <w:webHidden/>
                <w:sz w:val="20"/>
                <w:szCs w:val="20"/>
              </w:rPr>
              <w:t>4.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0"/>
                <w:szCs w:val="20"/>
              </w:rPr>
              <w:tab/>
            </w:r>
            <w:r>
              <w:rPr>
                <w:rStyle w:val="affc"/>
                <w:rFonts w:eastAsia="Calibri"/>
                <w:iCs/>
                <w:sz w:val="20"/>
                <w:szCs w:val="20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_Toc224637856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  <w:sz w:val="20"/>
              <w:szCs w:val="20"/>
            </w:rPr>
            <w:fldChar w:fldCharType="end"/>
          </w:r>
        </w:p>
      </w:sdtContent>
    </w:sdt>
    <w:p w:rsidR="00E97D48" w:rsidRDefault="00E97D48">
      <w:pPr>
        <w:pStyle w:val="16"/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0"/>
          <w:szCs w:val="20"/>
        </w:rPr>
      </w:pPr>
    </w:p>
    <w:p w:rsidR="00E97D48" w:rsidRDefault="00E97D48">
      <w:pPr>
        <w:pStyle w:val="16"/>
        <w:tabs>
          <w:tab w:val="clear" w:pos="567"/>
          <w:tab w:val="left" w:pos="709"/>
        </w:tabs>
        <w:spacing w:line="276" w:lineRule="auto"/>
        <w:rPr>
          <w:color w:val="000000" w:themeColor="text1"/>
        </w:rPr>
      </w:pPr>
    </w:p>
    <w:p w:rsidR="00E97D48" w:rsidRDefault="00BF1DE1">
      <w:pPr>
        <w:keepNext/>
        <w:keepLines/>
        <w:rPr>
          <w:rFonts w:eastAsia="Calibri"/>
          <w:color w:val="000000" w:themeColor="text1"/>
          <w:sz w:val="24"/>
          <w:szCs w:val="24"/>
        </w:rPr>
      </w:pPr>
      <w:r>
        <w:br w:type="page"/>
      </w:r>
    </w:p>
    <w:p w:rsidR="00E97D48" w:rsidRDefault="00BF1DE1">
      <w:pPr>
        <w:pStyle w:val="1"/>
        <w:keepLines/>
        <w:ind w:left="357" w:hanging="357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0" w:name="_Toc224637845"/>
      <w:r>
        <w:rPr>
          <w:color w:val="000000" w:themeColor="text1"/>
          <w:sz w:val="24"/>
          <w:szCs w:val="24"/>
          <w:lang w:val="ru-RU"/>
        </w:rPr>
        <w:lastRenderedPageBreak/>
        <w:t>Общие сведения</w:t>
      </w:r>
      <w:bookmarkEnd w:id="0"/>
    </w:p>
    <w:p w:rsidR="00E97D48" w:rsidRDefault="00BF1DE1">
      <w:pPr>
        <w:pStyle w:val="4"/>
        <w:numPr>
          <w:ilvl w:val="1"/>
          <w:numId w:val="3"/>
        </w:numPr>
        <w:rPr>
          <w:color w:val="000000" w:themeColor="text1"/>
        </w:rPr>
      </w:pPr>
      <w:bookmarkStart w:id="1" w:name="_Toc46743505"/>
      <w:bookmarkStart w:id="2" w:name="_Toc224637846"/>
      <w:r>
        <w:rPr>
          <w:color w:val="000000" w:themeColor="text1"/>
        </w:rPr>
        <w:t>Обозначения и сокращения</w:t>
      </w:r>
      <w:bookmarkEnd w:id="1"/>
      <w:bookmarkEnd w:id="2"/>
    </w:p>
    <w:p w:rsidR="00E97D48" w:rsidRDefault="00E97D48">
      <w:pPr>
        <w:rPr>
          <w:rStyle w:val="aff1"/>
          <w:b w:val="0"/>
          <w:bCs/>
          <w:i w:val="0"/>
          <w:color w:val="000000" w:themeColor="text1"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97D48">
        <w:trPr>
          <w:trHeight w:val="2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E97D48">
        <w:trPr>
          <w:trHeight w:val="2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Распределительное устройство</w:t>
            </w:r>
          </w:p>
        </w:tc>
      </w:tr>
      <w:tr w:rsidR="00E97D48">
        <w:trPr>
          <w:trHeight w:val="2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Средство измерений</w:t>
            </w:r>
          </w:p>
        </w:tc>
      </w:tr>
      <w:tr w:rsidR="00E97D48">
        <w:trPr>
          <w:trHeight w:val="2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Измерительный трансформатор напряжения</w:t>
            </w:r>
          </w:p>
        </w:tc>
      </w:tr>
      <w:tr w:rsidR="00E97D48">
        <w:trPr>
          <w:trHeight w:val="2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Измерительный трансформатор тока</w:t>
            </w:r>
          </w:p>
        </w:tc>
      </w:tr>
    </w:tbl>
    <w:p w:rsidR="00E97D48" w:rsidRDefault="00E97D48">
      <w:pPr>
        <w:rPr>
          <w:rStyle w:val="aff1"/>
          <w:b w:val="0"/>
          <w:bCs/>
          <w:i w:val="0"/>
          <w:color w:val="000000" w:themeColor="text1"/>
          <w:sz w:val="24"/>
          <w:szCs w:val="24"/>
        </w:rPr>
      </w:pPr>
    </w:p>
    <w:p w:rsidR="00E97D48" w:rsidRDefault="00E97D48">
      <w:pPr>
        <w:rPr>
          <w:rStyle w:val="aff1"/>
          <w:b w:val="0"/>
          <w:bCs/>
          <w:i w:val="0"/>
          <w:color w:val="000000" w:themeColor="text1"/>
          <w:sz w:val="24"/>
          <w:szCs w:val="24"/>
        </w:rPr>
      </w:pPr>
    </w:p>
    <w:p w:rsidR="00E97D48" w:rsidRDefault="00BF1DE1">
      <w:pPr>
        <w:keepNext/>
        <w:keepLines/>
        <w:rPr>
          <w:color w:val="000000" w:themeColor="text1"/>
          <w:sz w:val="24"/>
          <w:szCs w:val="24"/>
        </w:rPr>
      </w:pPr>
      <w:r>
        <w:br w:type="page"/>
      </w:r>
    </w:p>
    <w:p w:rsidR="00E97D48" w:rsidRDefault="00BF1DE1">
      <w:pPr>
        <w:pStyle w:val="4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rPr>
          <w:color w:val="000000" w:themeColor="text1"/>
        </w:rPr>
      </w:pPr>
      <w:bookmarkStart w:id="3" w:name="_Toc46743506"/>
      <w:bookmarkStart w:id="4" w:name="_Toc224637847"/>
      <w:r>
        <w:rPr>
          <w:color w:val="000000" w:themeColor="text1"/>
        </w:rPr>
        <w:lastRenderedPageBreak/>
        <w:t>Наименование закупаемой продукции</w:t>
      </w:r>
      <w:bookmarkEnd w:id="3"/>
      <w:bookmarkEnd w:id="4"/>
    </w:p>
    <w:p w:rsidR="00E97D48" w:rsidRDefault="00BF1DE1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ОКПД2 71.12.40.120 Поверка измерительных трансформаторов тока, трансформаторов напряжения Филиала ПАО «Якутскэнерго» Западные Электрические Сети.</w:t>
      </w:r>
    </w:p>
    <w:p w:rsidR="00E97D48" w:rsidRDefault="00E97D48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val="x-none" w:eastAsia="x-none"/>
        </w:rPr>
      </w:pPr>
    </w:p>
    <w:p w:rsidR="00E97D48" w:rsidRDefault="00BF1DE1">
      <w:pPr>
        <w:pStyle w:val="4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rPr>
          <w:color w:val="000000" w:themeColor="text1"/>
        </w:rPr>
      </w:pPr>
      <w:bookmarkStart w:id="5" w:name="_Toc46743507"/>
      <w:bookmarkStart w:id="6" w:name="_Toc224637848"/>
      <w:r>
        <w:rPr>
          <w:color w:val="000000" w:themeColor="text1"/>
        </w:rPr>
        <w:t xml:space="preserve">Цель </w:t>
      </w:r>
      <w:bookmarkEnd w:id="5"/>
      <w:r>
        <w:rPr>
          <w:color w:val="000000" w:themeColor="text1"/>
        </w:rPr>
        <w:t>оказания услуг</w:t>
      </w:r>
      <w:bookmarkEnd w:id="6"/>
    </w:p>
    <w:p w:rsidR="00E97D48" w:rsidRDefault="00BF1DE1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 xml:space="preserve">Проведение </w:t>
      </w:r>
      <w:r>
        <w:rPr>
          <w:rFonts w:eastAsia="Calibri"/>
          <w:color w:val="000000" w:themeColor="text1"/>
          <w:sz w:val="24"/>
          <w:szCs w:val="24"/>
          <w:lang w:eastAsia="x-none"/>
        </w:rPr>
        <w:t>периодической (или внеочередной) поверки измерительных трансформаторов тока (далее – ТТ) и измерительных трансформаторов напряжения (далее – ТН) для нужд Филиала ПАО «Якутскэнерго» Западные Электрические Сети.</w:t>
      </w:r>
    </w:p>
    <w:p w:rsidR="00E97D48" w:rsidRDefault="00E97D48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</w:p>
    <w:p w:rsidR="00E97D48" w:rsidRDefault="00BF1DE1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b/>
          <w:color w:val="000000" w:themeColor="text1"/>
          <w:sz w:val="24"/>
          <w:szCs w:val="24"/>
          <w:lang w:eastAsia="x-none"/>
        </w:rPr>
      </w:pPr>
      <w:r>
        <w:rPr>
          <w:rFonts w:eastAsia="Calibri"/>
          <w:b/>
          <w:color w:val="000000" w:themeColor="text1"/>
          <w:sz w:val="24"/>
          <w:szCs w:val="24"/>
          <w:lang w:eastAsia="x-none"/>
        </w:rPr>
        <w:t>Таблица 1. Перечень объектов заказчика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64"/>
        <w:gridCol w:w="2694"/>
        <w:gridCol w:w="3261"/>
        <w:gridCol w:w="3399"/>
      </w:tblGrid>
      <w:tr w:rsidR="00E97D4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№ п.п.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Наименование объекта</w:t>
            </w:r>
          </w:p>
          <w:p w:rsidR="00E97D48" w:rsidRDefault="00E97D4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b/>
                <w:i/>
                <w:iCs/>
                <w:color w:val="000000" w:themeColor="text1"/>
                <w:sz w:val="20"/>
                <w:szCs w:val="20"/>
              </w:rPr>
              <w:t>(место оказания услуг)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Наименование основного средства </w:t>
            </w:r>
            <w:r>
              <w:rPr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>(в отношении которого оказываются услуги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E97D4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E97D48">
        <w:trPr>
          <w:trHeight w:val="4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ТТ ( 220/</w:t>
            </w:r>
            <w:r>
              <w:rPr>
                <w:color w:val="000000" w:themeColor="text1"/>
                <w:sz w:val="20"/>
                <w:szCs w:val="20"/>
              </w:rPr>
              <w:t xml:space="preserve">110/ 10кВ)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ПАО «Якутскэнерго» - Западные Электрические Сети, </w:t>
            </w:r>
            <w:r>
              <w:rPr>
                <w:color w:val="000000" w:themeColor="text1"/>
                <w:sz w:val="20"/>
                <w:szCs w:val="20"/>
              </w:rPr>
              <w:t>Российская Федерация, Республика Саха (Якутия), г. Мирный, Ленинградский проспект 5/2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Измерительные ТТ и ТН в соответствии с Приложением №1</w:t>
            </w:r>
          </w:p>
        </w:tc>
      </w:tr>
      <w:tr w:rsidR="00E97D48">
        <w:trPr>
          <w:trHeight w:val="4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(220/</w:t>
            </w:r>
            <w:r>
              <w:rPr>
                <w:color w:val="000000" w:themeColor="text1"/>
                <w:sz w:val="20"/>
                <w:szCs w:val="20"/>
              </w:rPr>
              <w:t>110/10кВ)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E97D4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E97D48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97D48" w:rsidRDefault="00BF1DE1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 xml:space="preserve">Работы по поверки измерительных ТТ и ТН должны проводиться по месту установки измерительного оборудования и предусматривают: </w:t>
      </w:r>
    </w:p>
    <w:p w:rsidR="00E97D48" w:rsidRDefault="00BF1DE1">
      <w:pPr>
        <w:widowControl w:val="0"/>
        <w:tabs>
          <w:tab w:val="left" w:pos="993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 xml:space="preserve">производство работ в действующих электроустановках, на открытых распределительных устройствах ОРУ- </w:t>
      </w:r>
      <w:bookmarkStart w:id="7" w:name="_GoBack"/>
      <w:bookmarkEnd w:id="7"/>
      <w:r>
        <w:rPr>
          <w:rFonts w:eastAsia="Calibri"/>
          <w:color w:val="000000" w:themeColor="text1"/>
          <w:sz w:val="24"/>
          <w:szCs w:val="24"/>
          <w:lang w:eastAsia="x-none"/>
        </w:rPr>
        <w:t>110  кВ и РУ-10 кВ с наличием</w:t>
      </w:r>
      <w:r>
        <w:rPr>
          <w:rFonts w:eastAsia="Calibri"/>
          <w:color w:val="000000" w:themeColor="text1"/>
          <w:sz w:val="24"/>
          <w:szCs w:val="24"/>
          <w:lang w:eastAsia="x-none"/>
        </w:rPr>
        <w:t xml:space="preserve"> в зоне производства работ действующего технологического оборудования, находящегося под напряжением;</w:t>
      </w:r>
    </w:p>
    <w:p w:rsidR="00E97D48" w:rsidRDefault="00BF1DE1">
      <w:pPr>
        <w:widowControl w:val="0"/>
        <w:tabs>
          <w:tab w:val="left" w:pos="993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производство работ осуществляется с подъемом на высоту, для подключения поверочного оборудования.</w:t>
      </w:r>
    </w:p>
    <w:p w:rsidR="00E97D48" w:rsidRDefault="00E97D48">
      <w:pPr>
        <w:widowControl w:val="0"/>
        <w:tabs>
          <w:tab w:val="left" w:pos="993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</w:p>
    <w:p w:rsidR="00E97D48" w:rsidRDefault="00BF1DE1">
      <w:pPr>
        <w:pStyle w:val="4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rPr>
          <w:color w:val="000000" w:themeColor="text1"/>
          <w:lang w:val="ru-RU"/>
        </w:rPr>
      </w:pPr>
      <w:bookmarkStart w:id="8" w:name="_Toc224637849"/>
      <w:r>
        <w:rPr>
          <w:color w:val="000000" w:themeColor="text1"/>
        </w:rPr>
        <w:t xml:space="preserve">Информация в отношении исполнения договора, </w:t>
      </w:r>
      <w:bookmarkStart w:id="9" w:name="_Hlk46492347"/>
      <w:r>
        <w:rPr>
          <w:color w:val="000000" w:themeColor="text1"/>
        </w:rPr>
        <w:t xml:space="preserve">которая должна быть учтена при подготовке заявки </w:t>
      </w:r>
      <w:bookmarkEnd w:id="9"/>
      <w:r>
        <w:rPr>
          <w:color w:val="000000" w:themeColor="text1"/>
        </w:rPr>
        <w:t>(в том числе перечень ресурсов, услуг и документов, предоставляемых заказчиком на</w:t>
      </w:r>
      <w:r>
        <w:rPr>
          <w:color w:val="000000" w:themeColor="text1"/>
          <w:lang w:val="ru-RU"/>
        </w:rPr>
        <w:t xml:space="preserve"> </w:t>
      </w:r>
      <w:r>
        <w:rPr>
          <w:color w:val="000000" w:themeColor="text1"/>
        </w:rPr>
        <w:t>этапе исполнения договора)</w:t>
      </w:r>
      <w:r>
        <w:rPr>
          <w:color w:val="000000" w:themeColor="text1"/>
          <w:lang w:val="ru-RU"/>
        </w:rPr>
        <w:t>.</w:t>
      </w:r>
      <w:bookmarkEnd w:id="8"/>
    </w:p>
    <w:p w:rsidR="00E97D48" w:rsidRDefault="00BF1DE1">
      <w:pPr>
        <w:widowControl w:val="0"/>
        <w:tabs>
          <w:tab w:val="left" w:pos="1418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1.4.1.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На объекте действует пропускной режим: проход лиц, проезд транспортных средств на территор</w:t>
      </w:r>
      <w:r>
        <w:rPr>
          <w:rFonts w:eastAsia="Calibri"/>
          <w:color w:val="000000" w:themeColor="text1"/>
          <w:sz w:val="24"/>
          <w:szCs w:val="24"/>
          <w:lang w:eastAsia="x-none"/>
        </w:rPr>
        <w:t>ию Филиала и обратно, вноса (выноса), ввоза (вывоза) материальных ценностей осуществляется по письмам и пропускам установленного образца согласно положения по пропускному и внутри объектовому режимам Заказчика (Приложение №3).</w:t>
      </w:r>
    </w:p>
    <w:p w:rsidR="00E97D48" w:rsidRDefault="00BF1DE1">
      <w:pPr>
        <w:widowControl w:val="0"/>
        <w:tabs>
          <w:tab w:val="left" w:pos="1418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1.4.2.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Для выполнения метроло</w:t>
      </w:r>
      <w:r>
        <w:rPr>
          <w:rFonts w:eastAsia="Calibri"/>
          <w:color w:val="000000" w:themeColor="text1"/>
          <w:sz w:val="24"/>
          <w:szCs w:val="24"/>
          <w:lang w:eastAsia="x-none"/>
        </w:rPr>
        <w:t>гических работ Исполнитель должен иметь:</w:t>
      </w:r>
    </w:p>
    <w:p w:rsidR="00E97D48" w:rsidRDefault="00BF1DE1">
      <w:pPr>
        <w:widowControl w:val="0"/>
        <w:tabs>
          <w:tab w:val="left" w:pos="993"/>
          <w:tab w:val="left" w:pos="1418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действующий аттестата аккредитации (область аккредитации) на право выполнения работ по поверке СИ включающей поверку ТТ, ТН (Приложение №1);</w:t>
      </w:r>
    </w:p>
    <w:p w:rsidR="00E97D48" w:rsidRDefault="00BF1DE1">
      <w:pPr>
        <w:widowControl w:val="0"/>
        <w:tabs>
          <w:tab w:val="left" w:pos="993"/>
          <w:tab w:val="left" w:pos="1418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наличие договоров с организациями (Соисполнителями), имеющими действую</w:t>
      </w:r>
      <w:r>
        <w:rPr>
          <w:rFonts w:eastAsia="Calibri"/>
          <w:color w:val="000000" w:themeColor="text1"/>
          <w:sz w:val="24"/>
          <w:szCs w:val="24"/>
          <w:lang w:eastAsia="x-none"/>
        </w:rPr>
        <w:t>щий аттестата аккредитации (область аккредитации) на право выполнения работ по поверке СИ включающей поверку ТТ, ТН (Приложение №1);</w:t>
      </w:r>
    </w:p>
    <w:p w:rsidR="00E97D48" w:rsidRDefault="00BF1DE1">
      <w:pPr>
        <w:widowControl w:val="0"/>
        <w:tabs>
          <w:tab w:val="left" w:pos="993"/>
          <w:tab w:val="left" w:pos="1418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наличие необходимого методического, инструментального, эталонного и вспомогательного оборудования;</w:t>
      </w:r>
    </w:p>
    <w:p w:rsidR="00E97D48" w:rsidRDefault="00BF1DE1">
      <w:pPr>
        <w:widowControl w:val="0"/>
        <w:tabs>
          <w:tab w:val="left" w:pos="993"/>
          <w:tab w:val="left" w:pos="1418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 xml:space="preserve">наличие </w:t>
      </w:r>
      <w:r>
        <w:rPr>
          <w:rFonts w:eastAsia="Calibri"/>
          <w:color w:val="000000" w:themeColor="text1"/>
          <w:sz w:val="24"/>
          <w:szCs w:val="24"/>
          <w:lang w:eastAsia="x-none"/>
        </w:rPr>
        <w:t>квалифицированного и аттестованного персонала на право выполнения поверки ТТ, ТН;</w:t>
      </w:r>
    </w:p>
    <w:p w:rsidR="00E97D48" w:rsidRDefault="00BF1DE1">
      <w:pPr>
        <w:widowControl w:val="0"/>
        <w:tabs>
          <w:tab w:val="left" w:pos="993"/>
          <w:tab w:val="left" w:pos="1418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 xml:space="preserve">наличие собственного или привлеченного (по трудовым либо гражданско-правовым договорам) квалифицированного персонала, имеющий группы электробезопасности в </w:t>
      </w:r>
      <w:r>
        <w:rPr>
          <w:rFonts w:eastAsia="Calibri"/>
          <w:color w:val="000000" w:themeColor="text1"/>
          <w:sz w:val="24"/>
          <w:szCs w:val="24"/>
          <w:lang w:eastAsia="x-none"/>
        </w:rPr>
        <w:lastRenderedPageBreak/>
        <w:t>соответствии с ра</w:t>
      </w:r>
      <w:r>
        <w:rPr>
          <w:rFonts w:eastAsia="Calibri"/>
          <w:color w:val="000000" w:themeColor="text1"/>
          <w:sz w:val="24"/>
          <w:szCs w:val="24"/>
          <w:lang w:eastAsia="x-none"/>
        </w:rPr>
        <w:t>зделами XLVI, XLVII «Правил по охране труда при эксплуатации электроустановок»: руководитель работ – V, производитель работ – IV, члены бригады – не ниже III.</w:t>
      </w:r>
    </w:p>
    <w:p w:rsidR="00E97D48" w:rsidRDefault="00BF1DE1">
      <w:pPr>
        <w:widowControl w:val="0"/>
        <w:tabs>
          <w:tab w:val="left" w:pos="1418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1.4.3.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Исполнитель вправе привлекать соисполнителей только с письменного согласия Заказчика. Треб</w:t>
      </w:r>
      <w:r>
        <w:rPr>
          <w:rFonts w:eastAsia="Calibri"/>
          <w:color w:val="000000" w:themeColor="text1"/>
          <w:sz w:val="24"/>
          <w:szCs w:val="24"/>
          <w:lang w:eastAsia="x-none"/>
        </w:rPr>
        <w:t>ования, предъявляемые к Соисполнителям, аналогичны требованиям к Исполнителю.</w:t>
      </w:r>
    </w:p>
    <w:p w:rsidR="00E97D48" w:rsidRDefault="00E97D48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</w:p>
    <w:p w:rsidR="00E97D48" w:rsidRDefault="00BF1DE1">
      <w:pPr>
        <w:pStyle w:val="1"/>
        <w:keepLines/>
        <w:ind w:left="357" w:hanging="357"/>
        <w:jc w:val="center"/>
        <w:rPr>
          <w:iCs/>
          <w:caps/>
          <w:color w:val="000000" w:themeColor="text1"/>
          <w:sz w:val="24"/>
          <w:szCs w:val="24"/>
          <w:lang w:val="ru-RU"/>
        </w:rPr>
      </w:pPr>
      <w:bookmarkStart w:id="10" w:name="_Toc51339693"/>
      <w:bookmarkStart w:id="11" w:name="_Toc224637850"/>
      <w:r>
        <w:rPr>
          <w:iCs/>
          <w:color w:val="000000" w:themeColor="text1"/>
          <w:sz w:val="24"/>
          <w:szCs w:val="24"/>
          <w:lang w:val="ru-RU"/>
        </w:rPr>
        <w:t>Требования</w:t>
      </w:r>
      <w:r>
        <w:rPr>
          <w:iCs/>
          <w:color w:val="000000" w:themeColor="text1"/>
          <w:sz w:val="24"/>
          <w:szCs w:val="24"/>
        </w:rPr>
        <w:t xml:space="preserve"> к продукции</w:t>
      </w:r>
      <w:bookmarkEnd w:id="10"/>
      <w:bookmarkEnd w:id="11"/>
    </w:p>
    <w:p w:rsidR="00E97D48" w:rsidRDefault="00BF1DE1">
      <w:pPr>
        <w:pStyle w:val="4"/>
        <w:numPr>
          <w:ilvl w:val="1"/>
          <w:numId w:val="3"/>
        </w:numPr>
        <w:ind w:left="0" w:hanging="6"/>
        <w:rPr>
          <w:color w:val="000000" w:themeColor="text1"/>
        </w:rPr>
      </w:pPr>
      <w:bookmarkStart w:id="12" w:name="_Toc224637851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оказания услуг</w:t>
      </w:r>
      <w:bookmarkEnd w:id="12"/>
    </w:p>
    <w:p w:rsidR="00E97D48" w:rsidRDefault="00BF1DE1">
      <w:pPr>
        <w:pStyle w:val="3"/>
        <w:ind w:left="0" w:hanging="6"/>
        <w:rPr>
          <w:color w:val="000000" w:themeColor="text1"/>
        </w:rPr>
      </w:pPr>
      <w:bookmarkStart w:id="13" w:name="_Toc224637852"/>
      <w:r>
        <w:rPr>
          <w:color w:val="000000" w:themeColor="text1"/>
          <w:lang w:val="ru-RU"/>
        </w:rPr>
        <w:t>Требования к перечню и объему услуг</w:t>
      </w:r>
      <w:bookmarkEnd w:id="13"/>
    </w:p>
    <w:p w:rsidR="00E97D48" w:rsidRDefault="00BF1DE1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b/>
          <w:color w:val="000000" w:themeColor="text1"/>
          <w:sz w:val="24"/>
          <w:szCs w:val="24"/>
          <w:lang w:eastAsia="x-none"/>
        </w:rPr>
      </w:pPr>
      <w:bookmarkStart w:id="14" w:name="_Toc51339695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Таблица 2. Перечень </w:t>
      </w:r>
      <w:bookmarkEnd w:id="14"/>
      <w:r>
        <w:rPr>
          <w:rFonts w:eastAsia="Calibri"/>
          <w:b/>
          <w:color w:val="000000" w:themeColor="text1"/>
          <w:sz w:val="24"/>
          <w:szCs w:val="24"/>
          <w:lang w:eastAsia="x-none"/>
        </w:rPr>
        <w:t>и объем оказываемых услуг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4109"/>
        <w:gridCol w:w="2980"/>
        <w:gridCol w:w="2123"/>
      </w:tblGrid>
      <w:tr w:rsidR="00E97D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keepNext/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:rsidR="00E97D48" w:rsidRDefault="00BF1DE1">
            <w:pPr>
              <w:keepNext/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п.п.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keepNext/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Наименование услуг /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keepNext/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keepNext/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E97D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E97D48">
        <w:trPr>
          <w:trHeight w:val="3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Поверка измерительных ТТ 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( 220/</w:t>
            </w:r>
            <w:r>
              <w:rPr>
                <w:color w:val="000000" w:themeColor="text1"/>
                <w:sz w:val="20"/>
                <w:szCs w:val="20"/>
              </w:rPr>
              <w:t xml:space="preserve">110/ 10/ кВ)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Поверка измерительных ТТ и </w:t>
            </w:r>
            <w:r>
              <w:rPr>
                <w:color w:val="000000" w:themeColor="text1"/>
                <w:sz w:val="20"/>
                <w:szCs w:val="20"/>
              </w:rPr>
              <w:t>ТН по месту установки (Приложение №1) с оформлением результатов поверки на каждый из ТТ и ТН</w:t>
            </w:r>
          </w:p>
        </w:tc>
      </w:tr>
      <w:tr w:rsidR="00E97D48">
        <w:trPr>
          <w:trHeight w:val="3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(220/</w:t>
            </w:r>
            <w:r>
              <w:rPr>
                <w:color w:val="000000" w:themeColor="text1"/>
                <w:sz w:val="20"/>
                <w:szCs w:val="20"/>
              </w:rPr>
              <w:t xml:space="preserve"> 110/ 10 </w:t>
            </w:r>
            <w:r>
              <w:rPr>
                <w:color w:val="000000" w:themeColor="text1"/>
                <w:sz w:val="20"/>
                <w:szCs w:val="20"/>
              </w:rPr>
              <w:t>кВ)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E97D48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97D48" w:rsidRDefault="00E97D48">
      <w:pPr>
        <w:widowControl w:val="0"/>
        <w:tabs>
          <w:tab w:val="left" w:pos="426"/>
        </w:tabs>
        <w:spacing w:before="120" w:after="120"/>
        <w:ind w:firstLine="709"/>
        <w:jc w:val="both"/>
        <w:rPr>
          <w:bCs/>
          <w:color w:val="000000" w:themeColor="text1"/>
          <w:sz w:val="24"/>
          <w:szCs w:val="24"/>
          <w:shd w:val="clear" w:color="auto" w:fill="FFFF99"/>
        </w:rPr>
      </w:pPr>
    </w:p>
    <w:p w:rsidR="00E97D48" w:rsidRDefault="00BF1DE1">
      <w:pPr>
        <w:pStyle w:val="3"/>
        <w:rPr>
          <w:color w:val="000000" w:themeColor="text1"/>
          <w:lang w:val="ru-RU"/>
        </w:rPr>
      </w:pPr>
      <w:bookmarkStart w:id="15" w:name="_Toc51339696"/>
      <w:bookmarkStart w:id="16" w:name="_Toc224637853"/>
      <w:r>
        <w:rPr>
          <w:color w:val="000000" w:themeColor="text1"/>
          <w:lang w:val="ru-RU"/>
        </w:rPr>
        <w:t xml:space="preserve">Требования </w:t>
      </w:r>
      <w:bookmarkEnd w:id="15"/>
      <w:r>
        <w:rPr>
          <w:color w:val="000000" w:themeColor="text1"/>
          <w:lang w:val="ru-RU"/>
        </w:rPr>
        <w:t>к срокам оказания услуг</w:t>
      </w:r>
      <w:bookmarkEnd w:id="16"/>
    </w:p>
    <w:p w:rsidR="00E97D48" w:rsidRDefault="00BF1DE1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b/>
          <w:color w:val="000000" w:themeColor="text1"/>
          <w:sz w:val="24"/>
          <w:szCs w:val="24"/>
          <w:lang w:eastAsia="x-none"/>
        </w:rPr>
      </w:pPr>
      <w:bookmarkStart w:id="17" w:name="_Toc50125126"/>
      <w:bookmarkStart w:id="18" w:name="_Toc51339697"/>
      <w:bookmarkStart w:id="19" w:name="_Toc50125127"/>
      <w:bookmarkEnd w:id="17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Таблица 3. </w:t>
      </w:r>
      <w:bookmarkStart w:id="20" w:name="_Hlk50465284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Требования к срокам </w:t>
      </w:r>
      <w:bookmarkEnd w:id="18"/>
      <w:bookmarkEnd w:id="19"/>
      <w:bookmarkEnd w:id="20"/>
      <w:r>
        <w:rPr>
          <w:rFonts w:eastAsia="Calibri"/>
          <w:b/>
          <w:color w:val="000000" w:themeColor="text1"/>
          <w:sz w:val="24"/>
          <w:szCs w:val="24"/>
          <w:lang w:eastAsia="x-none"/>
        </w:rPr>
        <w:t>оказания услуг</w:t>
      </w: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4"/>
        <w:gridCol w:w="4116"/>
        <w:gridCol w:w="2691"/>
        <w:gridCol w:w="2410"/>
      </w:tblGrid>
      <w:tr w:rsidR="00E97D4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№ п.п.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 w:rsidR="00E97D4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pStyle w:val="affff1"/>
              <w:keepNext w:val="0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pStyle w:val="affff1"/>
              <w:keepNext w:val="0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E97D48">
        <w:trPr>
          <w:trHeight w:val="3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Поверка измерительных ТТ 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( 220/</w:t>
            </w:r>
            <w:r>
              <w:rPr>
                <w:color w:val="000000" w:themeColor="text1"/>
                <w:sz w:val="20"/>
                <w:szCs w:val="20"/>
              </w:rPr>
              <w:t xml:space="preserve">110/ 10/ кВ)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Начало: с даты заключения договора.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30.09.2026 г.</w:t>
            </w:r>
          </w:p>
        </w:tc>
      </w:tr>
      <w:tr w:rsidR="00E97D48">
        <w:trPr>
          <w:trHeight w:val="3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( 220/</w:t>
            </w:r>
            <w:r>
              <w:rPr>
                <w:color w:val="000000" w:themeColor="text1"/>
                <w:sz w:val="20"/>
                <w:szCs w:val="20"/>
              </w:rPr>
              <w:t>110/ 10 кВ)</w:t>
            </w: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E97D48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D48" w:rsidRDefault="00E97D4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bookmarkStart w:id="21" w:name="_Toc46743510"/>
            <w:bookmarkEnd w:id="21"/>
          </w:p>
        </w:tc>
      </w:tr>
    </w:tbl>
    <w:p w:rsidR="00E97D48" w:rsidRDefault="00E97D48">
      <w:pPr>
        <w:sectPr w:rsidR="00E97D4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E97D48" w:rsidRDefault="00BF1DE1">
      <w:pPr>
        <w:pStyle w:val="4"/>
        <w:numPr>
          <w:ilvl w:val="1"/>
          <w:numId w:val="3"/>
        </w:numPr>
        <w:rPr>
          <w:color w:val="000000" w:themeColor="text1"/>
        </w:rPr>
      </w:pPr>
      <w:bookmarkStart w:id="22" w:name="_Toc46743511"/>
      <w:bookmarkStart w:id="23" w:name="_Toc224637854"/>
      <w:r>
        <w:rPr>
          <w:color w:val="000000" w:themeColor="text1"/>
        </w:rPr>
        <w:lastRenderedPageBreak/>
        <w:t xml:space="preserve">Требования к </w:t>
      </w:r>
      <w:bookmarkEnd w:id="22"/>
      <w:r>
        <w:rPr>
          <w:color w:val="000000" w:themeColor="text1"/>
          <w:lang w:val="ru-RU"/>
        </w:rPr>
        <w:t>качеству услуг</w:t>
      </w:r>
      <w:bookmarkEnd w:id="23"/>
    </w:p>
    <w:p w:rsidR="00E97D48" w:rsidRDefault="00BF1DE1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b/>
          <w:color w:val="000000" w:themeColor="text1"/>
          <w:sz w:val="24"/>
          <w:szCs w:val="24"/>
          <w:lang w:eastAsia="x-none"/>
        </w:rPr>
      </w:pPr>
      <w:bookmarkStart w:id="24" w:name="_Toc51339698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Таблица 4. Требования к </w:t>
      </w:r>
      <w:bookmarkEnd w:id="24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качеству услуг </w:t>
      </w:r>
    </w:p>
    <w:p w:rsidR="00E97D48" w:rsidRDefault="00BF1DE1">
      <w:pPr>
        <w:widowControl w:val="0"/>
        <w:tabs>
          <w:tab w:val="left" w:pos="426"/>
        </w:tabs>
        <w:spacing w:before="120" w:after="120"/>
        <w:ind w:firstLine="709"/>
        <w:jc w:val="both"/>
        <w:rPr>
          <w:rFonts w:eastAsia="Calibri"/>
          <w:color w:val="000000" w:themeColor="text1"/>
          <w:lang w:eastAsia="x-none"/>
        </w:rPr>
      </w:pPr>
      <w:r>
        <w:rPr>
          <w:rFonts w:eastAsia="Calibri"/>
          <w:b/>
          <w:color w:val="000000" w:themeColor="text1"/>
          <w:sz w:val="24"/>
          <w:szCs w:val="24"/>
          <w:lang w:eastAsia="x-none"/>
        </w:rPr>
        <w:t>Наименование услуг/этапа услуг (позиция №1-2</w:t>
      </w:r>
      <w:r>
        <w:rPr>
          <w:rFonts w:eastAsia="Calibri"/>
          <w:i/>
          <w:color w:val="000000" w:themeColor="text1"/>
          <w:lang w:eastAsia="x-none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  <w:lang w:eastAsia="x-none"/>
        </w:rPr>
        <w:t>Таблицы 2):</w:t>
      </w:r>
      <w:r>
        <w:rPr>
          <w:rFonts w:eastAsia="Calibri"/>
          <w:i/>
          <w:color w:val="000000" w:themeColor="text1"/>
          <w:lang w:eastAsia="x-none"/>
        </w:rPr>
        <w:t xml:space="preserve"> </w:t>
      </w:r>
    </w:p>
    <w:tbl>
      <w:tblPr>
        <w:tblStyle w:val="affff7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954"/>
        <w:gridCol w:w="1942"/>
        <w:gridCol w:w="1888"/>
        <w:gridCol w:w="1982"/>
      </w:tblGrid>
      <w:tr w:rsidR="00E97D48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Требование заказчика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Предложение участника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по характеристикам и параметрам</w:t>
            </w:r>
          </w:p>
        </w:tc>
      </w:tr>
      <w:tr w:rsidR="00E97D48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:rsidR="00E97D48" w:rsidRDefault="00E97D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7D48" w:rsidRDefault="00E97D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  <w:vMerge/>
            <w:shd w:val="clear" w:color="auto" w:fill="auto"/>
            <w:vAlign w:val="center"/>
          </w:tcPr>
          <w:p w:rsidR="00E97D48" w:rsidRDefault="00E97D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E97D48" w:rsidRDefault="00E97D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25" w:name="_Toc53499667"/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bookmarkEnd w:id="25"/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33" w:hanging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keepNext/>
              <w:widowControl w:val="0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оказанию услуг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keepNext/>
              <w:widowControl w:val="0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Общие требования к организации работ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Соблюдение при </w:t>
            </w:r>
            <w:r>
              <w:rPr>
                <w:color w:val="000000" w:themeColor="text1"/>
                <w:sz w:val="20"/>
                <w:szCs w:val="20"/>
              </w:rPr>
              <w:t>выполнении работ норм и правил нормативно-технических документов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Работы должны быть выполнены в соответствии с следующими национальными, отраслевыми и корпоративными нормативно-техническими документами (в действующих редакциях):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Федеральный закон № 102-Ф</w:t>
            </w:r>
            <w:r>
              <w:rPr>
                <w:color w:val="000000" w:themeColor="text1"/>
                <w:sz w:val="20"/>
                <w:szCs w:val="20"/>
              </w:rPr>
              <w:t>З "Об обеспечении единства измерений";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Правила по охране труда при эксплуатации электроустановок;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Правила противопожарного режима в Российской Федерации;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ПТЭ электрических станций и сетей Российской Федерации;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Правила устройства электроустановок ПУ</w:t>
            </w:r>
            <w:r>
              <w:rPr>
                <w:color w:val="000000" w:themeColor="text1"/>
                <w:sz w:val="20"/>
                <w:szCs w:val="20"/>
              </w:rPr>
              <w:t>Э (издание седьмое);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Порядок проведения поверки средств измерений, требования к знаку поверки и содержанию свидетельства о поверке;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ГОСТ 1983-2001 Трансформаторы напряжения. Общие технические условия;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ГОСТ 8.216-2011 Трансформаторы напряжения. </w:t>
            </w:r>
            <w:r>
              <w:rPr>
                <w:color w:val="000000" w:themeColor="text1"/>
                <w:sz w:val="20"/>
                <w:szCs w:val="20"/>
              </w:rPr>
              <w:t>Методика поверки;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МИ 2999-2022. «ГСИ. Системы автоматизированные информационно-измерительные коммерческого учета электрической энергии. Рекомендации по составлению описания типа»;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МИ 3650-2022 «ГСИ. Рекомендация по подготовке, оформлению и рассмотрению</w:t>
            </w:r>
            <w:r>
              <w:rPr>
                <w:color w:val="000000" w:themeColor="text1"/>
                <w:sz w:val="20"/>
                <w:szCs w:val="20"/>
              </w:rPr>
              <w:t xml:space="preserve"> материалов испытаний средств измерений в целях утверждения типа»;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Приказ Минпромторга России от 25.06.2013г.№ 970;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Регламент процесса «Допуск персонала подрядных организаций на объекты ПАО «Якутскэнерго» (Приложение №3).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подготовительных работ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Разработать и согласовать со всеми заинтересованными службами Филиала ПАО «Якутскэнерго» Западные Электрические Сети, проект производства работ (ППР)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Подготовка рабочих мест и допуск на рабочие места</w:t>
            </w:r>
            <w:r>
              <w:rPr>
                <w:color w:val="000000" w:themeColor="text1"/>
                <w:sz w:val="20"/>
                <w:szCs w:val="20"/>
              </w:rPr>
              <w:t xml:space="preserve"> выполняет персонал Заказчика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соответствии с правилами (в действующих редакциях на период действия договора):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«Правила по охране труда при эксплуатации электроустановок» утв. Приказом Минтруда России от 15.12.2020 N 903н (ред. от 29.04.2022);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«Правил</w:t>
            </w:r>
            <w:r>
              <w:rPr>
                <w:color w:val="000000" w:themeColor="text1"/>
                <w:sz w:val="20"/>
                <w:szCs w:val="20"/>
              </w:rPr>
              <w:t xml:space="preserve"> по охране труда при работе на высоте» утв. Приказом Минтруда России от 16.11.2020 N 782н;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Регламент процесса «Допуск персонала подрядных организаций на объекты ПАО «Якутскэнерго» (Приложение №3).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keepNext/>
              <w:widowControl w:val="0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объёмам работ по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метрологическому обеспечению</w:t>
            </w:r>
          </w:p>
        </w:tc>
      </w:tr>
      <w:tr w:rsidR="00E97D48">
        <w:trPr>
          <w:cantSplit/>
          <w:trHeight w:val="307"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Поверка измерительных ТТ ( 110/ 10 кВ) 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ТТ и ТН по месту установки (Приложение №1) с оформлением результатов поверки на каждый из ТТ и ТН.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( 110/ 10 </w:t>
            </w:r>
            <w:r>
              <w:rPr>
                <w:color w:val="000000" w:themeColor="text1"/>
                <w:sz w:val="20"/>
                <w:szCs w:val="20"/>
              </w:rPr>
              <w:t xml:space="preserve"> кВ)</w:t>
            </w:r>
          </w:p>
        </w:tc>
        <w:tc>
          <w:tcPr>
            <w:tcW w:w="5954" w:type="dxa"/>
            <w:vMerge/>
            <w:shd w:val="clear" w:color="auto" w:fill="auto"/>
            <w:vAlign w:val="center"/>
          </w:tcPr>
          <w:p w:rsidR="00E97D48" w:rsidRDefault="00E97D48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widowControl w:val="0"/>
              <w:spacing w:before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процедурам оказания услуг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Общие требования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 оказании услуг на территории и объектах Филиала ПАО «Якутскэнерго» Западные Электрические Сети необходимо соблюдать: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Правила внутреннего трудового распорядка и требования </w:t>
            </w:r>
            <w:r>
              <w:rPr>
                <w:color w:val="000000" w:themeColor="text1"/>
                <w:sz w:val="20"/>
                <w:szCs w:val="20"/>
              </w:rPr>
              <w:t>пропускного и внутриобъектового режимов предприятия Заказчика;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Требования нормативных документов по охране труда, промышленной и пожарной безопасности;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Требования первичного, вводного и целевых инструктажей.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Условия </w:t>
            </w:r>
            <w:r>
              <w:rPr>
                <w:color w:val="000000" w:themeColor="text1"/>
                <w:sz w:val="20"/>
                <w:szCs w:val="20"/>
              </w:rPr>
              <w:t>проведения работ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Работы по метрологическому обслуживанию проводятся по месту установки измерительного оборудования и предусматривают: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производство работ в действующих электроустановках, на открытых распределительных устройствах ОРУ- 110кВ и РУ-10 кВ, с н</w:t>
            </w:r>
            <w:r>
              <w:rPr>
                <w:color w:val="000000" w:themeColor="text1"/>
                <w:sz w:val="20"/>
                <w:szCs w:val="20"/>
              </w:rPr>
              <w:t>аличием в зоне производства работ действующего технологического оборудования, находящегося под напряжением;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производство работ осуществляется с подъемом на высоту, для подключения поверочного оборудования.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Безопасность </w:t>
            </w:r>
            <w:r>
              <w:rPr>
                <w:color w:val="000000" w:themeColor="text1"/>
                <w:sz w:val="20"/>
                <w:szCs w:val="20"/>
              </w:rPr>
              <w:t>проведения работ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Специальное технологическое оборудование и инвентарь, </w:t>
            </w:r>
            <w:r>
              <w:rPr>
                <w:color w:val="000000" w:themeColor="text1"/>
                <w:sz w:val="20"/>
                <w:szCs w:val="20"/>
              </w:rPr>
              <w:t>применяемые при оказании услуг, должны использовать в соответствии с требованиями технологии производства работ и руководства по эксплуатации.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keepNext/>
              <w:widowControl w:val="0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Требования к </w:t>
            </w:r>
            <w:r>
              <w:rPr>
                <w:color w:val="000000" w:themeColor="text1"/>
                <w:sz w:val="20"/>
                <w:szCs w:val="20"/>
              </w:rPr>
              <w:t>эталонному и вспомогательному оборудованию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Наличие материально-технического оснащения для выполнения работ по поверке ТТ, ТН (по месту установки/эксплуатации: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эталонные средств измерений;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вспомогательное оборудование;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инструменты и приспособления.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средства индивидуальной защиты, для работ в действующих электроустановках и на высоте.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Предоставление подтверждающего документа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персоналу исполнителя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Квалификация персонала Исполнителя, привлекаемого к оказанию услуг в части охраны </w:t>
            </w:r>
            <w:r>
              <w:rPr>
                <w:color w:val="000000" w:themeColor="text1"/>
                <w:sz w:val="20"/>
                <w:szCs w:val="20"/>
              </w:rPr>
              <w:t>труда при эксплуатации электроустановок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Наличие собственного или привлеченного (по трудовым либо гражданско-правовым договорам) квалифицированного персонала, имеющий группы электробезопасности в соответствии с разделами XLVI, XLVII «Правил по охране труда </w:t>
            </w:r>
            <w:r>
              <w:rPr>
                <w:color w:val="000000" w:themeColor="text1"/>
                <w:sz w:val="20"/>
                <w:szCs w:val="20"/>
              </w:rPr>
              <w:t>при эксплуатации электроустановок»: руководитель работ – V, производитель работ – IV, члены бригады – не ниже III.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Предоставление подтверждающего документа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Квалификация персонала Исполнителя, привлекаемого к оказанию услуг в части проведения </w:t>
            </w:r>
            <w:r>
              <w:rPr>
                <w:color w:val="000000" w:themeColor="text1"/>
                <w:sz w:val="20"/>
                <w:szCs w:val="20"/>
              </w:rPr>
              <w:t>метрологических работ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Наличие у Исполнителя (или Соисполнителя) квалифицированного и аттестованного персонала на право выполнения поверки ТТ, ТН.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Предоставление подтверждающего документа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Требования к результатам у</w:t>
            </w:r>
            <w:r>
              <w:rPr>
                <w:b/>
                <w:color w:val="000000" w:themeColor="text1"/>
                <w:sz w:val="20"/>
                <w:szCs w:val="20"/>
              </w:rPr>
              <w:t>слуг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keepNext/>
              <w:widowControl w:val="0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Общие требования к результатам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услуг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Требования к результату оказания услуг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 результатам оказания услуг должны быть выполнено метрологическое обслуживание всех единиц СИ, указанных в Приложении №1.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keepNext/>
              <w:widowControl w:val="0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Требования к приемке результата оказания у</w:t>
            </w:r>
            <w:r>
              <w:rPr>
                <w:b/>
                <w:color w:val="000000" w:themeColor="text1"/>
                <w:sz w:val="20"/>
                <w:szCs w:val="20"/>
              </w:rPr>
              <w:t>слуг</w:t>
            </w:r>
            <w:r>
              <w:rPr>
                <w:rStyle w:val="aff1"/>
                <w:b w:val="0"/>
                <w:bCs/>
                <w:i w:val="0"/>
                <w:color w:val="000000" w:themeColor="text1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Требования к приемке результата оказания услуг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Услуги, выполняемые в рамках настоящих технических требований, считаются выполненными после подписания Акт приемки-сдачи оказанных услуг.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keepNext/>
              <w:widowControl w:val="0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Требования к документации, описывающей </w:t>
            </w:r>
            <w:r>
              <w:rPr>
                <w:b/>
                <w:color w:val="000000" w:themeColor="text1"/>
                <w:sz w:val="20"/>
                <w:szCs w:val="20"/>
              </w:rPr>
              <w:t>результат оказания услуг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 результатам оказания услуг предоставляется: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На каждое СИ (Приложении №1): «Свидетельство о поверке» с оттиском поверочного клейма либо «Извещение о </w:t>
            </w:r>
            <w:r>
              <w:rPr>
                <w:color w:val="000000" w:themeColor="text1"/>
                <w:sz w:val="20"/>
                <w:szCs w:val="20"/>
              </w:rPr>
              <w:t>непригодности», подписанный Исполнителем перечень регистрационных номеров свидетельств/извещений результатов поверки, внесенных в Федеральный информационный фонд по обеспечению единства измерений (Госреестр СИ);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Акт приема-сдачи оказанных услуг в 2 (двух</w:t>
            </w:r>
            <w:r>
              <w:rPr>
                <w:color w:val="000000" w:themeColor="text1"/>
                <w:sz w:val="20"/>
                <w:szCs w:val="20"/>
              </w:rPr>
              <w:t>) экземплярах на бумажном носителе, или в электронном виде в случаи использования;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Счет-фактура.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E97D48">
        <w:trPr>
          <w:cantSplit/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Требования к виду представления отчетной документации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Документы, указанные в п.2.3.1, представить на бумажном носителе 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Согласие </w:t>
            </w:r>
            <w:r>
              <w:rPr>
                <w:color w:val="000000" w:themeColor="text1"/>
                <w:sz w:val="20"/>
                <w:szCs w:val="20"/>
              </w:rPr>
              <w:t>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keepNext/>
              <w:widowControl w:val="0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Общие требования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случае повреждения имущества Заказчика в ходе оказания услуг, Исполнитель устраняет возникшие повреждения за свой счет в согласованные с Заказчиком сроки, но не </w:t>
            </w:r>
            <w:r>
              <w:rPr>
                <w:color w:val="000000" w:themeColor="text1"/>
                <w:sz w:val="20"/>
                <w:szCs w:val="20"/>
              </w:rPr>
              <w:t>позднее 15-ти календарных дней с даты подписания Сторонами Акта дефектации, подготовленного в произвольной форме;</w:t>
            </w:r>
          </w:p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Исполнитель компенсирует все потери от простоя имущества (оборудования) в ремонте по этим причинам.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Согласие с требованием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6" w:type="dxa"/>
            <w:gridSpan w:val="5"/>
            <w:shd w:val="clear" w:color="auto" w:fill="auto"/>
            <w:vAlign w:val="center"/>
          </w:tcPr>
          <w:p w:rsidR="00E97D48" w:rsidRDefault="00BF1DE1">
            <w:pPr>
              <w:keepNext/>
              <w:widowControl w:val="0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Требования к </w:t>
            </w:r>
            <w:r>
              <w:rPr>
                <w:b/>
                <w:color w:val="000000" w:themeColor="text1"/>
                <w:sz w:val="20"/>
                <w:szCs w:val="20"/>
              </w:rPr>
              <w:t>исполнителю (и соисполнителям) и его обязательствам, влияющим на исполнение договора</w:t>
            </w: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Наличие разрешающих документов Исполнителя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Наличие действующего Аттестата аккредитации на предусмотренные данными техническими требованиями виды работ (Приложении №1), в</w:t>
            </w:r>
            <w:r>
              <w:rPr>
                <w:color w:val="000000" w:themeColor="text1"/>
                <w:sz w:val="20"/>
                <w:szCs w:val="20"/>
              </w:rPr>
              <w:t xml:space="preserve"> соответствии с требованиями Федерального закона от 28.12.2013 № 412-ФЗ «Об аккредитации в национальной системе аккредитации», Приказа Минэкономразвития России от 26.10.2020 № 707 «Об утверждении критериев аккредитации и перечня документов, подтверждающих </w:t>
            </w:r>
            <w:r>
              <w:rPr>
                <w:color w:val="000000" w:themeColor="text1"/>
                <w:sz w:val="20"/>
                <w:szCs w:val="20"/>
              </w:rPr>
              <w:t>соответствие заявителя, аккредитованного лица критериям аккредитации»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Предоставление подтверждающего документа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Наличие разрешающих документов Соисполнителя</w:t>
            </w:r>
            <w:r>
              <w:rPr>
                <w:rStyle w:val="a8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Наличие действующего Аттестата аккредитации на предусмотренные данными техническими </w:t>
            </w:r>
            <w:r>
              <w:rPr>
                <w:color w:val="000000" w:themeColor="text1"/>
                <w:sz w:val="20"/>
                <w:szCs w:val="20"/>
              </w:rPr>
              <w:t>требованиями виды работ (Приложение №1), в соответствии с требованиями Федерального закона от 28.12.2013 № 412-ФЗ «Об аккредитации в национальной системе аккредитации», Приказа Минэкономразвития России от 26.10.2020 № 707 «Об утверждении критериев аккредит</w:t>
            </w:r>
            <w:r>
              <w:rPr>
                <w:color w:val="000000" w:themeColor="text1"/>
                <w:sz w:val="20"/>
                <w:szCs w:val="20"/>
              </w:rPr>
              <w:t>ации и перечня документов, подтверждающих соответствие заявителя, аккредитованного лица критериям аккредитации»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Предоставление подтверждающего документа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color w:val="000000" w:themeColor="text1"/>
                <w:sz w:val="20"/>
                <w:szCs w:val="20"/>
              </w:rPr>
            </w:pPr>
          </w:p>
        </w:tc>
      </w:tr>
      <w:tr w:rsidR="00E97D48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E97D48" w:rsidRDefault="00E97D4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Распределение объемов выполнения работ между Исполнителем и Соисполнителем</w:t>
            </w:r>
            <w:r>
              <w:rPr>
                <w:rStyle w:val="a7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Предоставление справки</w:t>
            </w:r>
            <w:r>
              <w:rPr>
                <w:color w:val="000000" w:themeColor="text1"/>
                <w:sz w:val="20"/>
                <w:szCs w:val="20"/>
              </w:rPr>
              <w:t xml:space="preserve"> о распределении объемов выполнения работ между Исполнителем и Соисполнителем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97D48" w:rsidRDefault="00BF1DE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Предоставление подтверждающего документа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97D48" w:rsidRDefault="00E97D48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</w:tbl>
    <w:p w:rsidR="00E97D48" w:rsidRDefault="00E97D48">
      <w:pPr>
        <w:sectPr w:rsidR="00E97D48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E97D48" w:rsidRDefault="00BF1DE1">
      <w:pPr>
        <w:pStyle w:val="1"/>
        <w:keepLines/>
        <w:ind w:left="357" w:hanging="357"/>
        <w:jc w:val="center"/>
        <w:rPr>
          <w:iCs/>
          <w:color w:val="000000" w:themeColor="text1"/>
          <w:sz w:val="24"/>
          <w:szCs w:val="24"/>
          <w:lang w:val="ru-RU"/>
        </w:rPr>
      </w:pPr>
      <w:bookmarkStart w:id="26" w:name="_Toc224637855"/>
      <w:r>
        <w:rPr>
          <w:iCs/>
          <w:color w:val="000000" w:themeColor="text1"/>
          <w:sz w:val="24"/>
          <w:szCs w:val="24"/>
          <w:lang w:val="ru-RU"/>
        </w:rPr>
        <w:lastRenderedPageBreak/>
        <w:t>Требования к документации по ценообразованию на этапе закупки</w:t>
      </w:r>
      <w:bookmarkEnd w:id="26"/>
    </w:p>
    <w:p w:rsidR="00E97D48" w:rsidRDefault="00BF1DE1">
      <w:pPr>
        <w:widowControl w:val="0"/>
        <w:tabs>
          <w:tab w:val="left" w:pos="426"/>
        </w:tabs>
        <w:spacing w:before="120" w:after="120"/>
        <w:ind w:firstLine="709"/>
        <w:jc w:val="both"/>
        <w:rPr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 xml:space="preserve">При составлении сметной документации на метрологическое услуги, применять в обязательном </w:t>
      </w:r>
      <w:r>
        <w:rPr>
          <w:color w:val="000000" w:themeColor="text1"/>
          <w:sz w:val="24"/>
          <w:szCs w:val="24"/>
          <w:lang w:eastAsia="x-none"/>
        </w:rPr>
        <w:t>порядке «Требования к оформлению и составлению сметных расчетов на оказание услуг</w:t>
      </w:r>
      <w:r>
        <w:rPr>
          <w:color w:val="000000" w:themeColor="text1"/>
        </w:rPr>
        <w:t>»</w:t>
      </w:r>
      <w:r>
        <w:rPr>
          <w:color w:val="000000" w:themeColor="text1"/>
          <w:sz w:val="24"/>
          <w:szCs w:val="24"/>
          <w:lang w:eastAsia="x-none"/>
        </w:rPr>
        <w:t xml:space="preserve"> в соответствии с Приложением №2 к настоящим Техническим требованиям.</w:t>
      </w:r>
    </w:p>
    <w:p w:rsidR="00E97D48" w:rsidRDefault="00E97D48">
      <w:pPr>
        <w:rPr>
          <w:color w:val="000000" w:themeColor="text1"/>
          <w:sz w:val="24"/>
          <w:szCs w:val="24"/>
          <w:lang w:eastAsia="x-none"/>
        </w:rPr>
      </w:pPr>
    </w:p>
    <w:p w:rsidR="00E97D48" w:rsidRDefault="00BF1DE1">
      <w:pPr>
        <w:pStyle w:val="1"/>
        <w:keepLines/>
        <w:ind w:left="357" w:hanging="357"/>
        <w:jc w:val="center"/>
        <w:rPr>
          <w:iCs/>
          <w:caps/>
          <w:color w:val="000000" w:themeColor="text1"/>
          <w:sz w:val="24"/>
          <w:szCs w:val="24"/>
        </w:rPr>
      </w:pPr>
      <w:bookmarkStart w:id="27" w:name="_Toc224637856"/>
      <w:r>
        <w:rPr>
          <w:iCs/>
          <w:color w:val="000000" w:themeColor="text1"/>
          <w:sz w:val="24"/>
          <w:szCs w:val="24"/>
          <w:lang w:val="ru-RU"/>
        </w:rPr>
        <w:t>Приложения</w:t>
      </w:r>
      <w:bookmarkEnd w:id="27"/>
    </w:p>
    <w:p w:rsidR="00E97D48" w:rsidRDefault="00BF1DE1">
      <w:pPr>
        <w:widowControl w:val="0"/>
        <w:tabs>
          <w:tab w:val="left" w:pos="426"/>
          <w:tab w:val="left" w:pos="2552"/>
        </w:tabs>
        <w:spacing w:before="120" w:after="120"/>
        <w:ind w:left="2552" w:hanging="1843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Приложение №1.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Перечень поверки средств измерений (Трансформаторы тока, трансформаторы напряжения);</w:t>
      </w:r>
    </w:p>
    <w:p w:rsidR="00E97D48" w:rsidRDefault="00BF1DE1">
      <w:pPr>
        <w:widowControl w:val="0"/>
        <w:tabs>
          <w:tab w:val="left" w:pos="426"/>
          <w:tab w:val="left" w:pos="2552"/>
        </w:tabs>
        <w:spacing w:before="120" w:after="120"/>
        <w:ind w:left="2552" w:hanging="1843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Приложение №2.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Требования к оформлению и составлению сметных расчетов на оказание услуг;</w:t>
      </w:r>
    </w:p>
    <w:p w:rsidR="00E97D48" w:rsidRDefault="00BF1DE1">
      <w:pPr>
        <w:widowControl w:val="0"/>
        <w:tabs>
          <w:tab w:val="left" w:pos="426"/>
          <w:tab w:val="left" w:pos="2552"/>
        </w:tabs>
        <w:spacing w:before="120" w:after="120"/>
        <w:ind w:left="2552" w:hanging="1843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Приложение №3.</w:t>
      </w:r>
      <w:r>
        <w:rPr>
          <w:rFonts w:eastAsia="Calibri"/>
          <w:color w:val="000000" w:themeColor="text1"/>
          <w:sz w:val="24"/>
          <w:szCs w:val="24"/>
          <w:lang w:eastAsia="x-none"/>
        </w:rPr>
        <w:tab/>
        <w:t>Регламент процесса «Допуск подрядных организаций к в</w:t>
      </w:r>
      <w:r>
        <w:rPr>
          <w:rFonts w:eastAsia="Calibri"/>
          <w:color w:val="000000" w:themeColor="text1"/>
          <w:sz w:val="24"/>
          <w:szCs w:val="24"/>
          <w:lang w:eastAsia="x-none"/>
        </w:rPr>
        <w:t>ыполнению работ на объектах ПАО «Якутскэнерго».</w:t>
      </w:r>
    </w:p>
    <w:p w:rsidR="00E97D48" w:rsidRDefault="00E97D48">
      <w:pPr>
        <w:rPr>
          <w:rFonts w:eastAsia="Calibri"/>
          <w:color w:val="000000" w:themeColor="text1"/>
          <w:sz w:val="24"/>
          <w:szCs w:val="24"/>
          <w:lang w:eastAsia="x-none"/>
        </w:rPr>
      </w:pPr>
    </w:p>
    <w:p w:rsidR="00E97D48" w:rsidRDefault="00BF1DE1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Составил:</w:t>
      </w:r>
    </w:p>
    <w:p w:rsidR="00E97D48" w:rsidRDefault="00BF1D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___Начальник С РЗАИ ЗЭС____</w:t>
      </w:r>
    </w:p>
    <w:p w:rsidR="00E97D48" w:rsidRDefault="00BF1DE1">
      <w:pPr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должность</w:t>
      </w:r>
    </w:p>
    <w:p w:rsidR="00E97D48" w:rsidRDefault="00E97D48">
      <w:pPr>
        <w:rPr>
          <w:bCs/>
          <w:sz w:val="24"/>
          <w:szCs w:val="24"/>
        </w:rPr>
      </w:pPr>
    </w:p>
    <w:p w:rsidR="00E97D48" w:rsidRDefault="00BF1DE1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_______________/Ю.А. Голубев/____</w:t>
      </w:r>
    </w:p>
    <w:p w:rsidR="00E97D48" w:rsidRDefault="00BF1DE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подпись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ФИО</w:t>
      </w:r>
    </w:p>
    <w:p w:rsidR="00E97D48" w:rsidRDefault="00BF1DE1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E97D48" w:rsidRDefault="00BF1DE1">
      <w:pPr>
        <w:keepNext/>
        <w:keepLines/>
        <w:spacing w:after="120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sz w:val="24"/>
          <w:szCs w:val="24"/>
        </w:rPr>
        <w:t>«______»______________20_____г.</w:t>
      </w:r>
    </w:p>
    <w:sectPr w:rsidR="00E97D48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1DE1">
      <w:r>
        <w:separator/>
      </w:r>
    </w:p>
  </w:endnote>
  <w:endnote w:type="continuationSeparator" w:id="0">
    <w:p w:rsidR="00000000" w:rsidRDefault="00BF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48" w:rsidRDefault="00BF1DE1">
      <w:pPr>
        <w:rPr>
          <w:sz w:val="12"/>
        </w:rPr>
      </w:pPr>
      <w:r>
        <w:separator/>
      </w:r>
    </w:p>
  </w:footnote>
  <w:footnote w:type="continuationSeparator" w:id="0">
    <w:p w:rsidR="00E97D48" w:rsidRDefault="00BF1DE1">
      <w:pPr>
        <w:rPr>
          <w:sz w:val="12"/>
        </w:rPr>
      </w:pPr>
      <w:r>
        <w:continuationSeparator/>
      </w:r>
    </w:p>
  </w:footnote>
  <w:footnote w:id="1">
    <w:p w:rsidR="00E97D48" w:rsidRDefault="00BF1DE1">
      <w:pPr>
        <w:pStyle w:val="afc"/>
        <w:widowControl w:val="0"/>
      </w:pPr>
      <w:r>
        <w:rPr>
          <w:rStyle w:val="a7"/>
        </w:rPr>
        <w:footnoteRef/>
      </w:r>
      <w:r>
        <w:t xml:space="preserve"> Исполнение требований является обязательным в</w:t>
      </w:r>
      <w:r>
        <w:t xml:space="preserve"> случаи привлечения Соисполнителя, для выполнения работ. В случаи если Соисполнитель не привлекается к выполнению услуг, в графе №6 соответствующего пункта таблицы указывается «Соисполнитель не требуется».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48" w:rsidRDefault="00BF1DE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7D48" w:rsidRDefault="00BF1DE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48" w:rsidRDefault="00BF1DE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48" w:rsidRDefault="00E97D4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48" w:rsidRDefault="00BF1DE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48" w:rsidRDefault="00E97D48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48" w:rsidRDefault="00BF1DE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48" w:rsidRDefault="00E97D4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9AC"/>
    <w:multiLevelType w:val="multilevel"/>
    <w:tmpl w:val="3D9CD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29585C11"/>
    <w:multiLevelType w:val="multilevel"/>
    <w:tmpl w:val="A8B8393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35754D1"/>
    <w:multiLevelType w:val="multilevel"/>
    <w:tmpl w:val="5FE8A13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820B87"/>
    <w:multiLevelType w:val="multilevel"/>
    <w:tmpl w:val="B5D40F3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5AB529A0"/>
    <w:multiLevelType w:val="multilevel"/>
    <w:tmpl w:val="123863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263985"/>
    <w:multiLevelType w:val="multilevel"/>
    <w:tmpl w:val="A60C99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27D6B69"/>
    <w:multiLevelType w:val="multilevel"/>
    <w:tmpl w:val="E91A32C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48"/>
    <w:rsid w:val="00BF1DE1"/>
    <w:rsid w:val="00E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0486"/>
  <w15:docId w15:val="{F8B20CA3-5B2D-4223-8BC4-A4802206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F198E"/>
    <w:pPr>
      <w:tabs>
        <w:tab w:val="left" w:pos="567"/>
        <w:tab w:val="left" w:pos="84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3E3C"/>
    <w:pPr>
      <w:tabs>
        <w:tab w:val="left" w:pos="709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FC6134"/>
    <w:pPr>
      <w:tabs>
        <w:tab w:val="left" w:pos="567"/>
        <w:tab w:val="right" w:pos="9911"/>
      </w:tabs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headertext"/>
    <w:basedOn w:val="a3"/>
    <w:qFormat/>
    <w:rsid w:val="008A15A3"/>
    <w:pPr>
      <w:spacing w:beforeAutospacing="1" w:afterAutospacing="1"/>
    </w:pPr>
    <w:rPr>
      <w:sz w:val="24"/>
      <w:szCs w:val="24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1F97-A565-4229-9639-8C18704F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11</Pages>
  <Words>2294</Words>
  <Characters>13080</Characters>
  <Application>Microsoft Office Word</Application>
  <DocSecurity>0</DocSecurity>
  <Lines>109</Lines>
  <Paragraphs>30</Paragraphs>
  <ScaleCrop>false</ScaleCrop>
  <Company>Microsoft</Company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Сергеев Сергей Михайлович</cp:lastModifiedBy>
  <cp:revision>74</cp:revision>
  <cp:lastPrinted>2006-07-26T14:04:00Z</cp:lastPrinted>
  <dcterms:created xsi:type="dcterms:W3CDTF">2023-12-19T12:21:00Z</dcterms:created>
  <dcterms:modified xsi:type="dcterms:W3CDTF">2026-06-23T07:11:00Z</dcterms:modified>
  <dc:language>ru-RU</dc:language>
</cp:coreProperties>
</file>