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F4E4C">
              <w:rPr>
                <w:sz w:val="26"/>
                <w:szCs w:val="26"/>
              </w:rPr>
              <w:t>енеральный директор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1A1AB6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91515E">
              <w:rPr>
                <w:sz w:val="26"/>
                <w:szCs w:val="26"/>
              </w:rPr>
              <w:t>24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AF4E4C">
              <w:rPr>
                <w:sz w:val="26"/>
                <w:szCs w:val="26"/>
              </w:rPr>
              <w:t>июн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91515E">
        <w:rPr>
          <w:rFonts w:ascii="Times New Roman" w:hAnsi="Times New Roman"/>
          <w:sz w:val="28"/>
          <w:szCs w:val="28"/>
        </w:rPr>
        <w:t>497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91515E" w:rsidRPr="0091515E">
        <w:rPr>
          <w:rFonts w:ascii="Times New Roman" w:hAnsi="Times New Roman"/>
          <w:sz w:val="28"/>
          <w:szCs w:val="28"/>
        </w:rPr>
        <w:t>ОКПД2 28.13.32.110 Поставка запасных частей к вакуумным деаэраторам для нужд структурного подразделения АО «Чукотэнерго» Анадырская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1A1AB6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Анадырская ТЭЦ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91515E">
        <w:rPr>
          <w:sz w:val="24"/>
          <w:szCs w:val="24"/>
        </w:rPr>
        <w:t>497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91515E" w:rsidRPr="0091515E">
        <w:rPr>
          <w:bCs/>
          <w:sz w:val="24"/>
          <w:szCs w:val="24"/>
        </w:rPr>
        <w:t>ОКПД2 28.13.32.110 Поставка запасных частей к вакуумным деаэраторам для нужд структурного подразделения АО «Чукотэнерго» Анадырская ТЭЦ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550A20">
        <w:rPr>
          <w:b/>
          <w:sz w:val="24"/>
          <w:szCs w:val="24"/>
          <w:u w:val="single"/>
        </w:rPr>
        <w:t>01</w:t>
      </w:r>
      <w:r w:rsidR="00872689">
        <w:rPr>
          <w:b/>
          <w:sz w:val="24"/>
          <w:szCs w:val="24"/>
          <w:u w:val="single"/>
        </w:rPr>
        <w:t>.0</w:t>
      </w:r>
      <w:r w:rsidR="0091515E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="00D25AAC">
        <w:rPr>
          <w:b/>
          <w:sz w:val="24"/>
          <w:szCs w:val="24"/>
          <w:u w:val="single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</w:t>
      </w:r>
      <w:bookmarkStart w:id="1" w:name="_GoBack"/>
      <w:bookmarkEnd w:id="1"/>
      <w:r w:rsidRPr="00987147">
        <w:rPr>
          <w:sz w:val="24"/>
          <w:szCs w:val="24"/>
        </w:rPr>
        <w:t>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1AB6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70121"/>
    <w:rsid w:val="004A2FB0"/>
    <w:rsid w:val="004D3C65"/>
    <w:rsid w:val="004E3C7F"/>
    <w:rsid w:val="00512D6A"/>
    <w:rsid w:val="00515911"/>
    <w:rsid w:val="00540DEC"/>
    <w:rsid w:val="00542CAD"/>
    <w:rsid w:val="00550A20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1515E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AF4E4C"/>
    <w:rsid w:val="00B51273"/>
    <w:rsid w:val="00B545A8"/>
    <w:rsid w:val="00B81F70"/>
    <w:rsid w:val="00BD332A"/>
    <w:rsid w:val="00BD3E58"/>
    <w:rsid w:val="00C075FB"/>
    <w:rsid w:val="00C17305"/>
    <w:rsid w:val="00C815EB"/>
    <w:rsid w:val="00D25AAC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D431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32</cp:revision>
  <cp:lastPrinted>2024-01-18T04:03:00Z</cp:lastPrinted>
  <dcterms:created xsi:type="dcterms:W3CDTF">2024-01-17T21:33:00Z</dcterms:created>
  <dcterms:modified xsi:type="dcterms:W3CDTF">2026-06-23T23:24:00Z</dcterms:modified>
</cp:coreProperties>
</file>