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Технические требования на поставку МТР</w:t>
      </w:r>
    </w:p>
    <w:p>
      <w:pPr>
        <w:pStyle w:val="Standard"/>
        <w:keepNext w:val="true"/>
        <w:keepLines/>
        <w:jc w:val="center"/>
        <w:rPr>
          <w:rFonts w:eastAsia="Calibri"/>
          <w:b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Standard"/>
        <w:keepNext w:val="true"/>
        <w:keepLines/>
        <w:jc w:val="center"/>
        <w:rPr>
          <w:rFonts w:eastAsia="Calibri"/>
          <w:b/>
          <w:b/>
          <w:bCs/>
          <w:i/>
          <w:i/>
          <w:iCs/>
          <w:sz w:val="22"/>
          <w:szCs w:val="22"/>
        </w:rPr>
      </w:pPr>
      <w:r>
        <w:rPr>
          <w:rFonts w:eastAsia="Calibri"/>
          <w:b/>
          <w:bCs/>
          <w:i/>
          <w:iCs/>
          <w:sz w:val="22"/>
          <w:szCs w:val="22"/>
        </w:rPr>
      </w:r>
    </w:p>
    <w:p>
      <w:pPr>
        <w:pStyle w:val="Normal"/>
        <w:bidi w:val="0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Поставка разъединителей 10 кВ  в рамках ремонтной и инвестиционной программ филиала  "Хабаровские электрические сети"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Standard"/>
        <w:keepNext w:val="true"/>
        <w:keepLines/>
        <w:jc w:val="center"/>
        <w:rPr>
          <w:sz w:val="22"/>
          <w:szCs w:val="22"/>
        </w:rPr>
      </w:pP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технологическое присоединение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1"/>
        <w:keepLines/>
        <w:numPr>
          <w:ilvl w:val="0"/>
          <w:numId w:val="3"/>
        </w:numPr>
        <w:ind w:left="357" w:hanging="357"/>
        <w:rPr>
          <w:caps/>
          <w:sz w:val="24"/>
          <w:szCs w:val="24"/>
          <w:lang w:val="ru-RU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4"/>
        <w:numPr>
          <w:ilvl w:val="1"/>
          <w:numId w:val="3"/>
        </w:numPr>
        <w:rPr>
          <w:sz w:val="26"/>
          <w:szCs w:val="26"/>
        </w:rPr>
      </w:pPr>
      <w:bookmarkStart w:id="2" w:name="_Toc75446567"/>
      <w:bookmarkStart w:id="3" w:name="_Toc46743505"/>
      <w:r>
        <w:rPr>
          <w:sz w:val="26"/>
          <w:szCs w:val="26"/>
        </w:rPr>
        <w:t>Обозначения и сокращения</w:t>
      </w:r>
      <w:bookmarkEnd w:id="2"/>
      <w:bookmarkEnd w:id="3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469" w:type="dxa"/>
        <w:jc w:val="left"/>
        <w:tblInd w:w="6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1349"/>
      </w:tblGrid>
      <w:tr>
        <w:trPr>
          <w:trHeight w:val="344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Style w:val="Strong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1A1D21"/>
                <w:sz w:val="20"/>
                <w:szCs w:val="20"/>
                <w:u w:val="none"/>
                <w:shd w:fill="auto" w:val="clear"/>
                <w:em w:val="none"/>
              </w:rPr>
              <w:t>РЛНД.1-10 II/400 УХЛ1 10000В 400А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 – разъединитель;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Л – линейный;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Н – наружной установки;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Д – два опорных изолятора на полюс;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 (2) – количество заземляющих ножей на полюс;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2 – количество полюсов (только для двухполюсного разъединителя);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10 – номинальное напряжение, кВ;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AL- Алюминиевые ножи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II – степень загрязненности для фарфорового изолятора С4-80-II УХЛ1;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VI-степень загрязненности для полимерного изолятора ОСК УХЛ1;</w:t>
            </w:r>
            <w:r>
              <w:rPr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УХЛ1 – вид климатического исполнения и категория размещения</w:t>
            </w:r>
          </w:p>
        </w:tc>
      </w:tr>
      <w:tr>
        <w:trPr>
          <w:trHeight w:val="344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auto" w:val="clear"/>
                <w:em w:val="none"/>
              </w:rPr>
              <w:t>ПРНЗ-10 УХЛ1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П – привод;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Р – ручной;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Н – наружной установки;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З – с приводом для заземляющих ножей;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2– привод для РЛНД с двумя заземляющими ножами;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10 – для управления разъединителем на напряжение 10 кВ;</w:t>
            </w:r>
            <w:r>
              <w:rPr>
                <w:color w:val="1A1D21"/>
                <w:sz w:val="20"/>
                <w:szCs w:val="20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</w:rPr>
              <w:t>УХЛ1 – вид климатического исполнения и категория размещения</w:t>
            </w:r>
          </w:p>
        </w:tc>
      </w:tr>
      <w:tr>
        <w:trPr>
          <w:trHeight w:val="195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КМЧ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металлических (монтажных) частей </w:t>
            </w:r>
            <w:r>
              <w:rPr>
                <w:iCs/>
                <w:sz w:val="20"/>
                <w:szCs w:val="20"/>
              </w:rPr>
              <w:t>для крепления разъединителя и вала</w:t>
            </w:r>
            <w:r>
              <w:rPr>
                <w:iCs/>
                <w:sz w:val="20"/>
                <w:szCs w:val="20"/>
                <w:shd w:fill="auto" w:val="clear"/>
              </w:rPr>
              <w:t xml:space="preserve"> на стойке СВ-105 железобетонной опоры любого типа</w:t>
            </w:r>
          </w:p>
        </w:tc>
      </w:tr>
      <w:tr>
        <w:trPr>
          <w:trHeight w:val="253" w:hRule="atLeast"/>
          <w:cantSplit w:val="true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</w:p>
        </w:tc>
        <w:tc>
          <w:tcPr>
            <w:tcW w:w="1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стандарт</w:t>
            </w:r>
          </w:p>
        </w:tc>
      </w:tr>
    </w:tbl>
    <w:p>
      <w:pPr>
        <w:pStyle w:val="4"/>
        <w:numPr>
          <w:ilvl w:val="1"/>
          <w:numId w:val="3"/>
        </w:numPr>
        <w:rPr/>
      </w:pPr>
      <w:bookmarkStart w:id="4" w:name="_Toc75446568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Standard"/>
        <w:widowControl w:val="false"/>
        <w:tabs>
          <w:tab w:val="clear" w:pos="708"/>
          <w:tab w:val="left" w:pos="426" w:leader="none"/>
        </w:tabs>
        <w:spacing w:before="120" w:after="120"/>
        <w:rPr>
          <w:b/>
          <w:b/>
          <w:i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Разъединители 10 кВ</w:t>
      </w:r>
    </w:p>
    <w:p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0125126"/>
      <w:bookmarkStart w:id="7" w:name="_Toc75446573"/>
      <w:bookmarkStart w:id="8" w:name="_Toc51339693"/>
      <w:bookmarkStart w:id="9" w:name="_Toc46743510"/>
      <w:bookmarkEnd w:id="9"/>
      <w:r>
        <w:rPr>
          <w:iCs/>
        </w:rPr>
        <w:t>Требования к продукции</w:t>
      </w:r>
      <w:bookmarkEnd w:id="7"/>
      <w:bookmarkEnd w:id="8"/>
    </w:p>
    <w:p>
      <w:pPr>
        <w:pStyle w:val="4"/>
        <w:numPr>
          <w:ilvl w:val="1"/>
          <w:numId w:val="3"/>
        </w:numPr>
        <w:rPr>
          <w:sz w:val="26"/>
          <w:szCs w:val="26"/>
        </w:rPr>
      </w:pPr>
      <w:bookmarkStart w:id="10" w:name="_Toc75446574"/>
      <w:r>
        <w:rPr>
          <w:sz w:val="26"/>
          <w:szCs w:val="26"/>
        </w:rPr>
        <w:t xml:space="preserve">Требования к объемам и срокам </w:t>
      </w:r>
      <w:r>
        <w:rPr>
          <w:sz w:val="26"/>
          <w:szCs w:val="26"/>
          <w:lang w:val="ru-RU"/>
        </w:rPr>
        <w:t>поставки</w:t>
      </w:r>
      <w:bookmarkEnd w:id="10"/>
    </w:p>
    <w:p>
      <w:pPr>
        <w:pStyle w:val="3"/>
        <w:numPr>
          <w:ilvl w:val="2"/>
          <w:numId w:val="3"/>
        </w:numPr>
        <w:rPr>
          <w:sz w:val="26"/>
          <w:szCs w:val="26"/>
        </w:rPr>
      </w:pPr>
      <w:bookmarkStart w:id="11" w:name="_Toc75446575"/>
      <w:r>
        <w:rPr>
          <w:sz w:val="26"/>
          <w:szCs w:val="26"/>
          <w:lang w:val="ru-RU"/>
        </w:rPr>
        <w:t>Перечень и объем закупаемой продукции</w:t>
      </w:r>
      <w:bookmarkEnd w:id="11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bCs/>
          <w:i/>
          <w:i/>
          <w:sz w:val="26"/>
          <w:szCs w:val="26"/>
          <w:shd w:fill="FFFF99" w:val="clear"/>
        </w:rPr>
      </w:pPr>
      <w:bookmarkStart w:id="12" w:name="_Toc75446576"/>
      <w:bookmarkStart w:id="13" w:name="_Toc5133969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Перечень </w:t>
      </w:r>
      <w:bookmarkEnd w:id="13"/>
      <w:r>
        <w:rPr>
          <w:sz w:val="26"/>
          <w:szCs w:val="26"/>
          <w:lang w:val="ru-RU"/>
        </w:rPr>
        <w:t>и объем закупаемой продукции</w:t>
      </w:r>
      <w:bookmarkEnd w:id="12"/>
    </w:p>
    <w:tbl>
      <w:tblPr>
        <w:tblW w:w="14713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8"/>
        <w:gridCol w:w="11426"/>
        <w:gridCol w:w="1305"/>
        <w:gridCol w:w="1303"/>
      </w:tblGrid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40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keepNext w:val="true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  <w:r>
              <w:rPr>
                <w:rStyle w:val="Style6"/>
                <w:b/>
                <w:bCs/>
                <w:i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95" w:hRule="atLeast"/>
        </w:trPr>
        <w:tc>
          <w:tcPr>
            <w:tcW w:w="14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филиал АО «ДРСК» «Хабаровские электрические сети» г. Хабаровск</w:t>
            </w:r>
          </w:p>
        </w:tc>
      </w:tr>
      <w:tr>
        <w:trPr>
          <w:trHeight w:val="295" w:hRule="atLeast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34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Style23"/>
                <w:rFonts w:eastAsia="Calibri" w:cs="Arial"/>
                <w:b w:val="false"/>
                <w:bCs w:val="false"/>
                <w:i w:val="false"/>
                <w:iCs/>
                <w:color w:val="00000A"/>
                <w:kern w:val="0"/>
                <w:sz w:val="22"/>
                <w:szCs w:val="22"/>
                <w:lang w:eastAsia="en-US"/>
              </w:rPr>
              <w:t xml:space="preserve">Разъединитель </w:t>
            </w:r>
            <w:r>
              <w:rPr>
                <w:rStyle w:val="Style23"/>
                <w:rFonts w:eastAsia="Calibri" w:cs="Arial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A"/>
                <w:kern w:val="0"/>
                <w:sz w:val="20"/>
                <w:szCs w:val="20"/>
                <w:u w:val="none"/>
                <w:shd w:fill="auto" w:val="clear"/>
                <w:em w:val="none"/>
                <w:lang w:eastAsia="en-US"/>
              </w:rPr>
              <w:t>РЛНД.1-10 II/400 УХЛ1 10000В 400А с ПРНЗ-10 УХЛ1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>
        <w:trPr>
          <w:trHeight w:val="295" w:hRule="atLeast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340" w:right="0" w:hanging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14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КМЧ Комплект монтажных частей к РЛНД (Крон-йн (РА-5 3шт.,РА-2 1шт.,РА-1 1шт.),ХомутХ7-3шт.,ВАЛ РА-3 2шт)</w:t>
            </w:r>
          </w:p>
        </w:tc>
        <w:tc>
          <w:tcPr>
            <w:tcW w:w="13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Компл.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>
      <w:pPr>
        <w:pStyle w:val="3"/>
        <w:numPr>
          <w:ilvl w:val="2"/>
          <w:numId w:val="3"/>
        </w:numPr>
        <w:rPr>
          <w:lang w:val="ru-RU"/>
        </w:rPr>
      </w:pPr>
      <w:bookmarkStart w:id="14" w:name="_Toc75446578"/>
      <w:bookmarkStart w:id="15" w:name="_Toc51339696"/>
      <w:bookmarkStart w:id="16" w:name="_Hlk68866984"/>
      <w:bookmarkEnd w:id="1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6"/>
      <w:bookmarkEnd w:id="14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7" w:name="_Hlk50465284"/>
      <w:r>
        <w:rPr>
          <w:sz w:val="24"/>
          <w:szCs w:val="24"/>
        </w:rPr>
        <w:t xml:space="preserve">Требования по срокам </w:t>
      </w:r>
      <w:bookmarkEnd w:id="17"/>
      <w:r>
        <w:rPr>
          <w:sz w:val="24"/>
          <w:szCs w:val="24"/>
          <w:lang w:val="ru-RU"/>
        </w:rPr>
        <w:t xml:space="preserve">поставки продукции </w:t>
      </w:r>
    </w:p>
    <w:tbl>
      <w:tblPr>
        <w:tblW w:w="14737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5102"/>
        <w:gridCol w:w="4536"/>
        <w:gridCol w:w="439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7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keepNext w:val="false"/>
              <w:widowControl w:val="false"/>
              <w:spacing w:before="40" w:after="4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keepNext w:val="false"/>
              <w:widowControl w:val="false"/>
              <w:spacing w:before="40" w:after="4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7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Разъединители 10 кВ, п. 1.1. </w:t>
            </w:r>
            <w:bookmarkStart w:id="18" w:name="_Toc134780805_Копия_1"/>
            <w:bookmarkStart w:id="19" w:name="_Toc51339695_Копия_1"/>
            <w:r>
              <w:rPr>
                <w:sz w:val="22"/>
                <w:szCs w:val="22"/>
              </w:rPr>
              <w:t xml:space="preserve">Таблица 1. Перечень </w:t>
            </w:r>
            <w:bookmarkEnd w:id="19"/>
            <w:r>
              <w:rPr>
                <w:sz w:val="22"/>
                <w:szCs w:val="22"/>
              </w:rPr>
              <w:t>и объем закупаемой продукции</w:t>
            </w:r>
            <w:bookmarkEnd w:id="1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>
                <w:bCs/>
                <w:iCs/>
                <w:sz w:val="22"/>
                <w:szCs w:val="22"/>
              </w:rPr>
              <w:t xml:space="preserve">в течение 90 календарных дней </w:t>
            </w:r>
            <w:r>
              <w:rPr>
                <w:bCs/>
                <w:sz w:val="22"/>
                <w:szCs w:val="22"/>
              </w:rPr>
              <w:t>с момента заключения договора поставки</w:t>
            </w:r>
          </w:p>
        </w:tc>
      </w:tr>
    </w:tbl>
    <w:p>
      <w:pPr>
        <w:pStyle w:val="4"/>
        <w:numPr>
          <w:ilvl w:val="1"/>
          <w:numId w:val="3"/>
        </w:numPr>
        <w:rPr/>
      </w:pPr>
      <w:bookmarkStart w:id="20" w:name="_Toc75446581"/>
      <w:bookmarkStart w:id="21" w:name="_Toc46743511"/>
      <w:bookmarkStart w:id="22" w:name="_Toc46743510_Копия_1"/>
      <w:bookmarkEnd w:id="22"/>
      <w:r>
        <w:rPr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0"/>
    </w:p>
    <w:p>
      <w:pPr>
        <w:pStyle w:val="1"/>
        <w:keepLines/>
        <w:numPr>
          <w:ilvl w:val="0"/>
          <w:numId w:val="0"/>
        </w:numPr>
        <w:spacing w:before="240" w:after="60"/>
        <w:ind w:left="0" w:hanging="0"/>
        <w:rPr>
          <w:rStyle w:val="Style16"/>
          <w:b/>
          <w:b/>
        </w:rPr>
      </w:pPr>
      <w:r>
        <w:rPr>
          <w:sz w:val="24"/>
          <w:szCs w:val="24"/>
        </w:rPr>
        <w:t xml:space="preserve"> </w:t>
      </w: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r>
        <w:rPr>
          <w:rStyle w:val="Style16"/>
          <w:b/>
        </w:rPr>
        <w:t xml:space="preserve"> </w:t>
      </w:r>
    </w:p>
    <w:p>
      <w:pPr>
        <w:pStyle w:val="Standard"/>
        <w:jc w:val="both"/>
        <w:rPr/>
      </w:pPr>
      <w:r>
        <w:rPr>
          <w:b/>
          <w:bCs/>
          <w:i/>
          <w:iCs/>
          <w:sz w:val="22"/>
          <w:szCs w:val="22"/>
        </w:rPr>
        <w:t xml:space="preserve">Наименование продукции (позиция №№ 1.1. Таблицы 1): </w:t>
      </w:r>
      <w:r>
        <w:rPr>
          <w:rFonts w:eastAsia="Times New Roman" w:cs="Times New Roman"/>
          <w:b/>
          <w:bCs/>
          <w:i/>
          <w:iCs/>
          <w:color w:val="auto"/>
          <w:kern w:val="0"/>
          <w:sz w:val="22"/>
          <w:szCs w:val="22"/>
          <w:lang w:val="ru-RU" w:eastAsia="ru-RU" w:bidi="ar-SA"/>
        </w:rPr>
        <w:t>Разъединители</w:t>
      </w:r>
      <w:r>
        <w:rPr>
          <w:b/>
          <w:bCs/>
          <w:i/>
          <w:iCs/>
          <w:sz w:val="22"/>
          <w:szCs w:val="22"/>
        </w:rPr>
        <w:t xml:space="preserve"> 10 кВ</w:t>
      </w:r>
    </w:p>
    <w:tbl>
      <w:tblPr>
        <w:tblStyle w:val="af"/>
        <w:tblW w:w="146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3685"/>
        <w:gridCol w:w="3402"/>
        <w:gridCol w:w="2269"/>
        <w:gridCol w:w="2409"/>
        <w:gridCol w:w="2127"/>
        <w:gridCol w:w="17"/>
      </w:tblGrid>
      <w:tr>
        <w:trPr/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6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6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  <w:r>
              <w:rPr>
                <w:rStyle w:val="Style6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id="3"/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vertAlign w:val="superscript"/>
                <w:lang w:val="ru-RU" w:eastAsia="ru-RU" w:bidi="ar-SA"/>
              </w:rPr>
              <w:t>*</w:t>
            </w:r>
          </w:p>
        </w:tc>
        <w:tc>
          <w:tcPr>
            <w:tcW w:w="21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6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4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4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Требования к техническим и функциональным характеристикам в отношении продукции представлены в Приложении № 1 </w:t>
            </w:r>
            <w:r>
              <w:rPr>
                <w:b w:val="false"/>
                <w:bCs w:val="false"/>
                <w:iCs/>
                <w:sz w:val="22"/>
                <w:szCs w:val="22"/>
              </w:rPr>
              <w:t>к настоящим Техническим требованиям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2"/>
                <w:szCs w:val="22"/>
                <w:lang w:val="ru-RU" w:eastAsia="ru-RU" w:bidi="ar-SA"/>
              </w:rPr>
              <w:t>Предоставить заполненное приложение № 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Уровень изоляции изделия должен соответствовать ГОСТ 1516.3-96 «Электрооборудование переменного тока на напряжение от 1 до 750 кВ. Требования к электрической прочности изоляции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наличию и предоставлению документов, подтверждающих безопасность оборудования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соответствии с Федеральным Законом от 27.12.2002 г. № 184-ФЗ «О техническом регулировании», Постановлением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Высоковольтное оборудование должно иметь декларацию о соответствии (разъединители  должны иметь декларацию соответствия ГОСТ 1516.3-96, ГОСТ Р 52726-2007).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Декларация о соответствии должна иметь электронную регистрацию в едином реестре деклараций на сайте </w:t>
            </w:r>
            <w:hyperlink r:id="rId2">
              <w:r>
                <w:rPr>
                  <w:rFonts w:eastAsia="Times New Roman" w:cs="Times New Roman"/>
                  <w:kern w:val="0"/>
                  <w:sz w:val="22"/>
                  <w:szCs w:val="22"/>
                  <w:lang w:val="ru-RU" w:eastAsia="ru-RU" w:bidi="ar-SA"/>
                </w:rPr>
                <w:t>https://fsa.gov.ru/</w:t>
              </w:r>
            </w:hyperlink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(требование п.6 ст.24 ФЗ-184.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Представить копию действующей 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val="ru-RU" w:eastAsia="ru-RU" w:bidi="ar-SA"/>
              </w:rPr>
              <w:t>декларации о соответствии ГОСТу/ указать регистрационный номер декларации о соответствии ГОСТу</w:t>
            </w:r>
            <w:r>
              <w:rPr>
                <w:rFonts w:eastAsia="Sylfaen" w:cs="Times New Roman"/>
                <w:i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на разъединители 10 кВ.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гарантии на поставляемую продукцию, включая все его составляющие части (комплектующие изделия).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Не менее 60 (шестидесяти) месяцев с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даты подписания накладной ТОРГ-12 или УПД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Указать срок гарантии на продукцию</w:t>
            </w:r>
          </w:p>
        </w:tc>
        <w:tc>
          <w:tcPr>
            <w:tcW w:w="2409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458" w:hanging="43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на защиту от коррозии, при отсутствии механических повреждений.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менее 10 лет с даты подписания накладной ТОРГ-12 или УПД.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Указать срок гарантии на продукцию</w:t>
            </w:r>
          </w:p>
        </w:tc>
        <w:tc>
          <w:tcPr>
            <w:tcW w:w="2409" w:type="dxa"/>
            <w:tcBorders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ind w:right="-142" w:hanging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ind w:right="141" w:hanging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Все металлические части разъединителя, должны иметь стойкое антикоррозионное покрытие или быть изготовлены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материалов,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подверженных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коррозии</w:t>
            </w:r>
          </w:p>
        </w:tc>
        <w:tc>
          <w:tcPr>
            <w:tcW w:w="22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39" w:hanging="0"/>
              <w:jc w:val="center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Указать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антикоррозионное покрытие или материал,</w:t>
            </w:r>
            <w:r>
              <w:rPr>
                <w:rFonts w:eastAsia="Times New Roman" w:cs="Times New Roman"/>
                <w:i/>
                <w:spacing w:val="-6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i/>
                <w:spacing w:val="-8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подверженного</w:t>
            </w:r>
            <w:r>
              <w:rPr>
                <w:rFonts w:eastAsia="Times New Roman" w:cs="Times New Roman"/>
                <w:i/>
                <w:spacing w:val="-9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коррозии</w:t>
            </w:r>
          </w:p>
        </w:tc>
        <w:tc>
          <w:tcPr>
            <w:tcW w:w="2409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0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доставке</w:t>
            </w:r>
          </w:p>
        </w:tc>
      </w:tr>
      <w:tr>
        <w:trPr>
          <w:trHeight w:val="1010" w:hRule="atLeast"/>
        </w:trPr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68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 продукции для филиала АО «ДРСК» «Хабаровские электрические сети»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г. Хабаровск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быть доставлена: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680009, Хабаровский край,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/>
                <w:i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0"/>
                <w:sz w:val="22"/>
                <w:szCs w:val="22"/>
                <w:u w:val="none"/>
                <w:em w:val="none"/>
                <w:lang w:val="ru-RU" w:eastAsia="ru-RU" w:bidi="ar-SA"/>
              </w:rPr>
              <w:t>г. Хабаровск, ул. Промышленная, 13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92" w:type="dxa"/>
            <w:gridSpan w:val="5"/>
            <w:tcBorders/>
            <w:vAlign w:val="center"/>
          </w:tcPr>
          <w:p>
            <w:pPr>
              <w:pStyle w:val="Standard"/>
              <w:widowControl w:val="false"/>
              <w:spacing w:before="60" w:after="6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сроку выпуска продукции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2025-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2026 гг. выпуска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 и ранее неиспользованной. (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Под новым следует понимать продукцию, которая не была в употреблении, не проходила ремонт, в том числе восстановление, замену составных частей, восстановление потребительских свойств)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1389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145" w:hanging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Применение законодательства о национальном режиме: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0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7087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Происхождение поставляемой продукции</w:t>
            </w:r>
          </w:p>
        </w:tc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Коммерческого предложения Участник указывает страну и производителя продукции.</w:t>
            </w:r>
          </w:p>
        </w:tc>
        <w:tc>
          <w:tcPr>
            <w:tcW w:w="2409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Style w:val="Style25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23"/>
                <w:b/>
                <w:sz w:val="22"/>
                <w:szCs w:val="22"/>
                <w:lang w:val="en-US"/>
              </w:rPr>
              <w:t>-//-</w:t>
            </w: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59" w:before="0" w:after="160"/>
        <w:ind w:left="0" w:hanging="0"/>
        <w:contextualSpacing/>
        <w:jc w:val="both"/>
        <w:outlineLvl w:val="1"/>
        <w:rPr>
          <w:rFonts w:eastAsia="Calibri"/>
          <w:b/>
          <w:b/>
          <w:sz w:val="24"/>
          <w:szCs w:val="24"/>
          <w:lang w:eastAsia="en-US"/>
        </w:rPr>
      </w:pPr>
      <w:bookmarkStart w:id="24" w:name="_Toc31295832"/>
      <w:r>
        <w:rPr>
          <w:rFonts w:eastAsia="Calibri"/>
          <w:b/>
          <w:sz w:val="24"/>
          <w:szCs w:val="24"/>
          <w:lang w:eastAsia="en-US"/>
        </w:rPr>
        <w:t>Требования к документации по ценообразованию.</w:t>
      </w:r>
      <w:bookmarkEnd w:id="24"/>
    </w:p>
    <w:p>
      <w:pPr>
        <w:pStyle w:val="1"/>
        <w:keepLines/>
        <w:numPr>
          <w:ilvl w:val="0"/>
          <w:numId w:val="0"/>
        </w:numPr>
        <w:ind w:left="0" w:firstLine="709"/>
        <w:jc w:val="both"/>
        <w:rPr>
          <w:b w:val="false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  <w:lang w:val="ru-RU"/>
        </w:rPr>
        <w:t xml:space="preserve">3.1. </w:t>
      </w:r>
      <w:r>
        <w:rPr>
          <w:b w:val="false"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1"/>
        <w:keepLines/>
        <w:numPr>
          <w:ilvl w:val="0"/>
          <w:numId w:val="0"/>
        </w:numPr>
        <w:ind w:left="0" w:firstLine="709"/>
        <w:jc w:val="both"/>
        <w:rPr>
          <w:b w:val="false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  <w:t>3.2. Все цены в предложении должны включать все налоги, транспортные расходы,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b/>
          <w:caps/>
          <w:sz w:val="26"/>
          <w:szCs w:val="26"/>
          <w:lang w:val="x-none" w:eastAsia="x-none"/>
        </w:rPr>
      </w:pPr>
      <w:r>
        <w:rPr>
          <w:rFonts w:eastAsia="Calibri"/>
          <w:b/>
          <w:caps/>
          <w:sz w:val="26"/>
          <w:szCs w:val="26"/>
          <w:lang w:val="x-none" w:eastAsia="x-none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b/>
          <w:caps/>
          <w:sz w:val="26"/>
          <w:szCs w:val="26"/>
          <w:lang w:val="x-none" w:eastAsia="x-none"/>
        </w:rPr>
      </w:pPr>
      <w:r>
        <w:rPr>
          <w:rFonts w:eastAsia="Calibri"/>
          <w:b/>
          <w:sz w:val="26"/>
          <w:szCs w:val="26"/>
          <w:lang w:val="x-none" w:eastAsia="x-none"/>
        </w:rPr>
        <w:t>Приложения:</w:t>
      </w:r>
    </w:p>
    <w:p>
      <w:pPr>
        <w:pStyle w:val="Normal"/>
        <w:rPr/>
      </w:pPr>
      <w:r>
        <w:rPr>
          <w:bCs/>
          <w:i/>
          <w:iCs/>
          <w:sz w:val="24"/>
          <w:szCs w:val="24"/>
        </w:rPr>
        <w:t xml:space="preserve">Приложение № 1: </w:t>
      </w:r>
      <w:r>
        <w:rPr>
          <w:rFonts w:eastAsia="Calibri"/>
          <w:b w:val="false"/>
          <w:bCs w:val="false"/>
          <w:i/>
          <w:iCs/>
          <w:sz w:val="24"/>
          <w:szCs w:val="24"/>
        </w:rPr>
        <w:t>Требования к продукции (индивидуальные требования по каждой позиции перечня продукции).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84" w:leader="none"/>
        </w:tabs>
        <w:spacing w:before="120" w:after="60"/>
        <w:ind w:left="0" w:hanging="0"/>
        <w:outlineLvl w:val="0"/>
        <w:rPr>
          <w:rFonts w:eastAsia="Calibri"/>
          <w:b/>
          <w:b/>
          <w:caps/>
          <w:sz w:val="26"/>
          <w:szCs w:val="26"/>
          <w:lang w:val="x-none" w:eastAsia="x-none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4"/>
        <w:widowControl w:val="false"/>
        <w:shd w:val="clear" w:color="auto" w:fill="FFFFFF"/>
        <w:rPr>
          <w:iCs/>
          <w:color w:val="FF0000"/>
          <w:sz w:val="16"/>
          <w:szCs w:val="16"/>
        </w:rPr>
      </w:pPr>
      <w:r>
        <w:rPr>
          <w:rStyle w:val="Style5"/>
        </w:rPr>
        <w:footnoteRef/>
      </w:r>
      <w:r>
        <w:rPr>
          <w:color w:val="FF0000"/>
          <w:sz w:val="16"/>
          <w:szCs w:val="16"/>
        </w:rPr>
        <w:t xml:space="preserve"> </w:t>
      </w:r>
      <w:bookmarkStart w:id="25" w:name="_Hlk68806928_Копия_1"/>
      <w:r>
        <w:rPr>
          <w:iCs/>
          <w:color w:val="FF0000"/>
          <w:sz w:val="16"/>
          <w:szCs w:val="16"/>
        </w:rPr>
        <w:t xml:space="preserve">Указанные в настоящем ТТ ссылки на марку (тип) продукции носят описательный, а не обязательный характер. </w:t>
      </w:r>
      <w:bookmarkEnd w:id="25"/>
      <w:r>
        <w:rPr>
          <w:iCs/>
          <w:color w:val="FF0000"/>
          <w:sz w:val="16"/>
          <w:szCs w:val="16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Style34"/>
        <w:widowControl w:val="false"/>
        <w:shd w:val="clear" w:color="auto" w:fill="FFFFFF"/>
        <w:rPr>
          <w:bCs/>
          <w:iCs/>
          <w:color w:val="FF0000"/>
          <w:sz w:val="16"/>
          <w:szCs w:val="16"/>
        </w:rPr>
      </w:pPr>
      <w:r>
        <w:rPr>
          <w:bCs/>
          <w:iCs/>
          <w:color w:val="FF0000"/>
          <w:sz w:val="16"/>
          <w:szCs w:val="16"/>
        </w:rPr>
        <w:t>Параметрами эквивалентности являются технические характеристики продукции, указанные в приложении № 1 к настоящим техническим требованиям.</w:t>
      </w:r>
    </w:p>
    <w:p>
      <w:pPr>
        <w:pStyle w:val="Style34"/>
        <w:widowControl w:val="false"/>
        <w:shd w:val="clear" w:color="auto" w:fill="FFFFFF"/>
        <w:rPr>
          <w:color w:val="FF0000"/>
        </w:rPr>
      </w:pPr>
      <w:r>
        <w:rPr>
          <w:iCs/>
          <w:color w:val="FF0000"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</w:t>
      </w:r>
      <w:r>
        <w:rPr>
          <w:iCs/>
          <w:color w:val="FF0000"/>
        </w:rPr>
        <w:t>.</w:t>
      </w:r>
    </w:p>
  </w:footnote>
  <w:footnote w:id="3">
    <w:p>
      <w:pPr>
        <w:pStyle w:val="Footnote"/>
        <w:widowControl w:val="false"/>
        <w:jc w:val="both"/>
        <w:rPr/>
      </w:pPr>
      <w:r>
        <w:rPr>
          <w:rStyle w:val="Style5"/>
        </w:rPr>
        <w:footnoteRef/>
      </w:r>
      <w:r>
        <w:rPr>
          <w:rStyle w:val="FootnoteCharacters"/>
          <w:color w:val="FF0000"/>
        </w:rPr>
        <w:t>*</w:t>
      </w:r>
      <w:r>
        <w:rPr>
          <w:color w:val="FF0000"/>
        </w:rPr>
        <w:t xml:space="preserve"> </w:t>
      </w:r>
      <w:r>
        <w:rPr>
          <w:i/>
          <w:iCs/>
          <w:color w:val="FF0000"/>
          <w:sz w:val="22"/>
          <w:szCs w:val="22"/>
        </w:rPr>
        <w:t>Способ подтверждения участником соответствия требованиям указан в таблице в отношении каждой позиции закупаемой продукции [</w:t>
      </w:r>
      <w:r>
        <w:rPr>
          <w:rStyle w:val="Style16"/>
          <w:rFonts w:eastAsia="Calibri"/>
          <w:b w:val="false"/>
          <w:iCs/>
          <w:color w:val="FF0000"/>
          <w:sz w:val="22"/>
          <w:szCs w:val="22"/>
          <w:shd w:fill="auto" w:val="clear"/>
        </w:rPr>
        <w:t>В разделе «Предложения участника» в отношении каждого требования нужно указать соответствующий способ подтверждения: согласие, указание технических характеристик, предоставление подтверждающего документа или иной способ подтверждения]</w:t>
      </w:r>
      <w:r>
        <w:rPr>
          <w:iCs/>
          <w:color w:val="FF0000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6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6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 w:val="fals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1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link w:val="31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1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link w:val="51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1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1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1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1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qFormat/>
    <w:rsid w:val="00d561d9"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link w:val="E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39"/>
    <w:qFormat/>
    <w:locked/>
    <w:rsid w:val="00d22f6d"/>
    <w:rPr>
      <w:sz w:val="28"/>
    </w:rPr>
  </w:style>
  <w:style w:type="character" w:styleId="Style13" w:customStyle="1">
    <w:name w:val="Текст сноски Знак"/>
    <w:uiPriority w:val="99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b/>
      <w:i/>
      <w:shd w:fill="FFFF99" w:val="clear"/>
    </w:rPr>
  </w:style>
  <w:style w:type="character" w:styleId="Style17" w:customStyle="1">
    <w:name w:val="Подподпункт Знак"/>
    <w:link w:val="Style50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semiHidden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qFormat/>
    <w:rsid w:val="003879d4"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5"/>
    <w:qFormat/>
    <w:rsid w:val="00de52bc"/>
    <w:rPr>
      <w:b/>
      <w:sz w:val="28"/>
    </w:rPr>
  </w:style>
  <w:style w:type="character" w:styleId="13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23">
    <w:name w:val="Основной шрифт абзаца"/>
    <w:qFormat/>
    <w:rPr/>
  </w:style>
  <w:style w:type="character" w:styleId="Style24">
    <w:name w:val="Посещённая гиперссылка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styleId="Style25">
    <w:name w:val="Знак примечания"/>
    <w:qFormat/>
    <w:rPr>
      <w:sz w:val="16"/>
      <w:szCs w:val="16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7">
    <w:name w:val="Body Text"/>
    <w:basedOn w:val="Normal"/>
    <w:link w:val="Style14"/>
    <w:rsid w:val="0076353a"/>
    <w:pPr>
      <w:spacing w:before="0" w:after="12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Style34">
    <w:name w:val="Footnote Text"/>
    <w:basedOn w:val="Normal"/>
    <w:link w:val="Style13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8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link w:val="Style18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7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8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9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3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40" w:customStyle="1">
    <w:name w:val="Раздел регламента"/>
    <w:basedOn w:val="Normal"/>
    <w:qFormat/>
    <w:rsid w:val="00e228fa"/>
    <w:pPr/>
    <w:rPr/>
  </w:style>
  <w:style w:type="paragraph" w:styleId="Style4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3">
    <w:name w:val="Subtitle"/>
    <w:basedOn w:val="Normal"/>
    <w:next w:val="Normal"/>
    <w:link w:val="Style9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5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4">
    <w:name w:val="Index Heading"/>
    <w:basedOn w:val="Style26"/>
    <w:pPr/>
    <w:rPr/>
  </w:style>
  <w:style w:type="paragraph" w:styleId="Style45">
    <w:name w:val="TOC Heading"/>
    <w:basedOn w:val="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Style12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0" w:customStyle="1">
    <w:name w:val="Подподпункт"/>
    <w:basedOn w:val="Style39"/>
    <w:link w:val="Style17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52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2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5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4">
    <w:name w:val="Endnote Text"/>
    <w:basedOn w:val="Normal"/>
    <w:link w:val="Style20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6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Footnote">
    <w:name w:val="Footnote"/>
    <w:basedOn w:val="Standard"/>
    <w:qFormat/>
    <w:pPr/>
    <w:rPr>
      <w:sz w:val="20"/>
      <w:szCs w:val="20"/>
    </w:rPr>
  </w:style>
  <w:style w:type="paragraph" w:styleId="Style57">
    <w:name w:val="Содержимое таблицы"/>
    <w:basedOn w:val="Normal"/>
    <w:qFormat/>
    <w:pPr>
      <w:widowControl w:val="false"/>
      <w:suppressLineNumbers/>
    </w:pPr>
    <w:rPr/>
  </w:style>
  <w:style w:type="paragraph" w:styleId="Style58">
    <w:name w:val="Заголовок таблицы"/>
    <w:basedOn w:val="Style5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sa.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B1997-28AD-4278-84CA-A181C73E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Application>AlterOffice/3.2.9.1$Linux_X86_64 LibreOffice_project/f6fcdc9ef8f5642eaaec34925899f1250a32c141</Application>
  <AppVersion>15.0000</AppVersion>
  <Pages>6</Pages>
  <Words>939</Words>
  <Characters>6408</Characters>
  <CharactersWithSpaces>7229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2023-08-07T08:16:00Z</dcterms:created>
  <dc:creator>Быстров Олег Геннадьевич</dc:creator>
  <dc:description/>
  <dc:language>ru-RU</dc:language>
  <cp:lastModifiedBy>manikovskaya_yug</cp:lastModifiedBy>
  <cp:lastPrinted>2026-05-22T14:58:06Z</cp:lastPrinted>
  <dcterms:modified xsi:type="dcterms:W3CDTF">2026-05-22T15:04:05Z</dcterms:modified>
  <cp:revision>93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