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2"/>
        <w:shd w:val="clear" w:color="auto" w:fill="auto"/>
        <w:spacing w:lineRule="auto" w:line="264"/>
        <w:rPr>
          <w:b/>
        </w:rPr>
      </w:pPr>
      <w:r>
        <w:rPr>
          <w:b/>
        </w:rPr>
      </w:r>
    </w:p>
    <w:tbl>
      <w:tblPr>
        <w:tblW w:w="972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226"/>
        <w:gridCol w:w="5493"/>
      </w:tblGrid>
      <w:tr>
        <w:trPr>
          <w:trHeight w:val="2518" w:hRule="atLeast"/>
        </w:trPr>
        <w:tc>
          <w:tcPr>
            <w:tcW w:w="4226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02" w:leader="none"/>
              </w:tabs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493" w:type="dxa"/>
            <w:tcBorders/>
          </w:tcPr>
          <w:p>
            <w:pPr>
              <w:pStyle w:val="NoSpacing"/>
              <w:widowControl w:val="false"/>
              <w:jc w:val="right"/>
              <w:rPr>
                <w:rStyle w:val="Style6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Spacing"/>
              <w:widowControl w:val="false"/>
              <w:jc w:val="right"/>
              <w:rPr>
                <w:rStyle w:val="Style6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Spacing"/>
              <w:widowControl w:val="false"/>
              <w:jc w:val="right"/>
              <w:rPr>
                <w:rStyle w:val="Style6"/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Spacing"/>
              <w:widowControl w:val="false"/>
              <w:jc w:val="right"/>
              <w:rPr>
                <w:rStyle w:val="Style6"/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12"/>
        <w:shd w:val="clear" w:color="auto" w:fill="auto"/>
        <w:spacing w:lineRule="auto" w:line="264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auto" w:line="264"/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auto" w:line="26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Технические требования </w:t>
      </w:r>
    </w:p>
    <w:p>
      <w:pPr>
        <w:pStyle w:val="12"/>
        <w:shd w:val="clear" w:color="auto" w:fill="auto"/>
        <w:spacing w:lineRule="auto" w:line="2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ОКПД2 24.10.75.130 Поставка рельс для подкрановых путей подъёмных сооружений </w:t>
      </w:r>
      <w:r>
        <w:rPr>
          <w:b/>
          <w:bCs/>
          <w:color w:val="000000"/>
          <w:sz w:val="24"/>
          <w:szCs w:val="24"/>
          <w:lang w:eastAsia="en-US"/>
        </w:rPr>
        <w:t xml:space="preserve">Саратовской ГЭС </w:t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</w:numPr>
            <w:ind w:left="0" w:hanging="0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cs="Times New Roman" w:ascii="Times New Roman" w:hAnsi="Times New Roman"/>
              <w:color w:val="auto"/>
              <w:sz w:val="24"/>
              <w:szCs w:val="24"/>
            </w:rPr>
            <w:t>Оглавление</w:t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356" w:leader="dot"/>
            </w:tabs>
            <w:rPr>
              <w:rFonts w:eastAsia="" w:eastAsiaTheme="minorEastAsia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0"/>
              <w:vanish w:val="false"/>
            </w:rPr>
            <w:instrText xml:space="preserve"> TOC \z \o "1-3" \u \h</w:instrText>
          </w:r>
          <w:r>
            <w:rPr>
              <w:webHidden/>
              <w:rStyle w:val="Style10"/>
              <w:vanish w:val="false"/>
            </w:rPr>
            <w:fldChar w:fldCharType="separate"/>
          </w:r>
          <w:hyperlink w:anchor="_Toc20702282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_Toc207022822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0"/>
                <w:vanish w:val="false"/>
              </w:rPr>
              <w:t>1. 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ind w:left="0" w:hanging="0"/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hyperlink w:anchor="_Toc20702282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_Toc207022823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0"/>
                <w:rFonts w:cs="Times New Roman" w:ascii="Times New Roman" w:hAnsi="Times New Roman"/>
                <w:vanish w:val="false"/>
                <w:sz w:val="24"/>
                <w:szCs w:val="24"/>
              </w:rPr>
              <w:t>1. 1. 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356" w:leader="dot"/>
            </w:tabs>
            <w:rPr>
              <w:rFonts w:eastAsia="" w:eastAsiaTheme="minorEastAsia"/>
              <w:b w:val="false"/>
              <w:bCs w:val="false"/>
            </w:rPr>
          </w:pPr>
          <w:hyperlink w:anchor="_Toc207022824">
            <w:r>
              <w:rPr>
                <w:webHidden/>
                <w:rStyle w:val="Style10"/>
                <w:rFonts w:eastAsia="Calibri"/>
                <w:iCs/>
                <w:vanish w:val="false"/>
              </w:rPr>
              <w:t>2.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_Toc207022824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0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ind w:left="0" w:hanging="0"/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hyperlink w:anchor="_Toc20702282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_Toc207022825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0"/>
                <w:rFonts w:cs="Times New Roman" w:ascii="Times New Roman" w:hAnsi="Times New Roman"/>
                <w:vanish w:val="false"/>
                <w:sz w:val="24"/>
                <w:szCs w:val="24"/>
              </w:rPr>
              <w:t>2.1. 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ind w:left="0" w:hanging="0"/>
            <w:rPr>
              <w:rFonts w:eastAsia="" w:eastAsiaTheme="minorEastAsia"/>
              <w:sz w:val="24"/>
              <w:szCs w:val="24"/>
            </w:rPr>
          </w:pPr>
          <w:hyperlink w:anchor="_Toc20702282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_Toc207022826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0"/>
                <w:vanish w:val="false"/>
                <w:sz w:val="24"/>
                <w:szCs w:val="24"/>
              </w:rPr>
              <w:t>Таблица 1. Перечень и объем закупаемой продукции………………………………………...3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ind w:left="0" w:hanging="0"/>
            <w:rPr>
              <w:rFonts w:eastAsia="" w:eastAsiaTheme="minorEastAsia"/>
              <w:sz w:val="24"/>
              <w:szCs w:val="24"/>
            </w:rPr>
          </w:pPr>
          <w:hyperlink w:anchor="_Toc20702282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_Toc207022827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0"/>
                <w:vanish w:val="false"/>
                <w:sz w:val="24"/>
                <w:szCs w:val="24"/>
              </w:rPr>
              <w:t>Таблица 2. Требования по срокам поставки продукции………………………………………3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345" w:leader="dot"/>
            </w:tabs>
            <w:ind w:left="0" w:hanging="0"/>
            <w:rPr>
              <w:rFonts w:ascii="Times New Roman" w:hAnsi="Times New Roman" w:eastAsia="" w:cs="Times New Roman" w:eastAsiaTheme="minorEastAsia"/>
              <w:sz w:val="24"/>
              <w:szCs w:val="24"/>
              <w:lang w:eastAsia="ru-RU"/>
            </w:rPr>
          </w:pPr>
          <w:hyperlink w:anchor="_Toc20702282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_Toc207022828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0"/>
                <w:rFonts w:cs="Times New Roman" w:ascii="Times New Roman" w:hAnsi="Times New Roman"/>
                <w:vanish w:val="false"/>
                <w:sz w:val="24"/>
                <w:szCs w:val="24"/>
              </w:rPr>
              <w:t>2.2. Требования к качеству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356" w:leader="dot"/>
            </w:tabs>
            <w:rPr>
              <w:rFonts w:eastAsia="" w:eastAsiaTheme="minorEastAsia"/>
              <w:b w:val="false"/>
              <w:bCs w:val="false"/>
            </w:rPr>
          </w:pPr>
          <w:hyperlink w:anchor="_Toc207022829">
            <w:r>
              <w:rPr>
                <w:webHidden/>
                <w:rStyle w:val="Style10"/>
                <w:iCs/>
                <w:vanish w:val="false"/>
              </w:rPr>
              <w:t xml:space="preserve">3.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_Toc207022829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0"/>
              </w:rPr>
              <w:t xml:space="preserve">    Требования к документации по ценообразованию на этапе закупки</w:t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TOC1"/>
        <w:rPr/>
      </w:pPr>
      <w:r>
        <w:rPr/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shd w:val="clear" w:color="auto" w:fill="auto"/>
        <w:spacing w:lineRule="exact" w:line="331" w:before="0" w:after="263"/>
        <w:ind w:left="60" w:hanging="0"/>
        <w:jc w:val="center"/>
        <w:rPr>
          <w:szCs w:val="28"/>
        </w:rPr>
      </w:pPr>
      <w:r>
        <w:rPr>
          <w:szCs w:val="28"/>
        </w:rPr>
      </w:r>
    </w:p>
    <w:p>
      <w:pPr>
        <w:pStyle w:val="12"/>
        <w:numPr>
          <w:ilvl w:val="0"/>
          <w:numId w:val="0"/>
        </w:numPr>
        <w:shd w:val="clear" w:color="auto" w:fill="auto"/>
        <w:spacing w:lineRule="exact" w:line="331" w:before="0" w:after="263"/>
        <w:ind w:left="0" w:hanging="0"/>
        <w:jc w:val="center"/>
        <w:outlineLvl w:val="0"/>
        <w:rPr>
          <w:sz w:val="24"/>
          <w:szCs w:val="24"/>
        </w:rPr>
      </w:pPr>
      <w:bookmarkStart w:id="0" w:name="_Toc207022822"/>
      <w:r>
        <w:rPr>
          <w:b/>
          <w:sz w:val="24"/>
          <w:szCs w:val="24"/>
        </w:rPr>
        <w:t>1. Общие сведения</w:t>
      </w:r>
      <w:bookmarkEnd w:id="0"/>
    </w:p>
    <w:p>
      <w:pPr>
        <w:pStyle w:val="Heading2"/>
        <w:numPr>
          <w:ilvl w:val="1"/>
          <w:numId w:val="1"/>
        </w:numPr>
        <w:suppressAutoHyphens w:val="false"/>
        <w:spacing w:lineRule="auto" w:line="264" w:before="0" w:after="0"/>
        <w:ind w:left="0" w:hanging="0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07022823"/>
      <w:r>
        <w:rPr>
          <w:rFonts w:cs="Times New Roman" w:ascii="Times New Roman" w:hAnsi="Times New Roman"/>
          <w:color w:val="auto"/>
          <w:sz w:val="24"/>
          <w:szCs w:val="24"/>
        </w:rPr>
        <w:t>1. 1. Наименование закупаемой продукции</w:t>
      </w:r>
      <w:bookmarkEnd w:id="1"/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 xml:space="preserve">ОКПД2 </w:t>
      </w:r>
      <w:r>
        <w:rPr>
          <w:sz w:val="24"/>
          <w:szCs w:val="24"/>
        </w:rPr>
        <w:t>24.10.75.130</w:t>
      </w:r>
      <w:r>
        <w:rPr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eastAsia="en-US"/>
        </w:rPr>
        <w:t>Поставка рельс для подкрановых путей подъёмных сооружений Саратовской ГЭС (далее – продукция).</w:t>
      </w:r>
    </w:p>
    <w:p>
      <w:pPr>
        <w:pStyle w:val="ListParagraph"/>
        <w:spacing w:lineRule="auto" w:line="264" w:before="0" w:after="0"/>
        <w:contextualSpacing/>
        <w:rPr>
          <w:sz w:val="24"/>
          <w:szCs w:val="24"/>
        </w:rPr>
      </w:pPr>
      <w:r>
        <w:rPr>
          <w:b/>
          <w:bCs/>
          <w:sz w:val="24"/>
          <w:szCs w:val="24"/>
          <w:lang w:eastAsia="ar-SA"/>
        </w:rPr>
        <w:t>1.2.</w:t>
        <w:tab/>
        <w:t xml:space="preserve">Цель использования закупаемой продукции </w:t>
      </w:r>
    </w:p>
    <w:p>
      <w:pPr>
        <w:pStyle w:val="ListParagraph"/>
        <w:spacing w:lineRule="auto" w:line="264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Продукция предназначена для исполнения договора на оказание услуг по эксплуатации подъемных сооружений и рельсовых путей для нужд Филиала ПАО "РусГидро" - "Саратовская ГЭС" в 2027г., заключаемого между АО «Гидроремонт-ВКК» и ПАО «РусГидро» - «Саратовская ГЭС». </w:t>
      </w:r>
    </w:p>
    <w:p>
      <w:pPr>
        <w:pStyle w:val="Normal"/>
        <w:spacing w:lineRule="auto" w:line="264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2" w:name="_GoBack"/>
      <w:bookmarkStart w:id="3" w:name="_GoBack"/>
      <w:bookmarkEnd w:id="3"/>
    </w:p>
    <w:p>
      <w:pPr>
        <w:pStyle w:val="Normal"/>
        <w:spacing w:lineRule="auto" w:line="264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120" w:after="60"/>
        <w:ind w:left="357" w:hanging="35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_Toc207022824"/>
      <w:r>
        <w:rPr>
          <w:rFonts w:eastAsia="Calibri" w:cs="Times New Roman" w:ascii="Times New Roman" w:hAnsi="Times New Roman"/>
          <w:b/>
          <w:iCs/>
          <w:sz w:val="24"/>
          <w:szCs w:val="24"/>
        </w:rPr>
        <w:t>2. Требования к продукции</w:t>
      </w:r>
      <w:bookmarkEnd w:id="4"/>
    </w:p>
    <w:p>
      <w:pPr>
        <w:pStyle w:val="Heading2"/>
        <w:numPr>
          <w:ilvl w:val="0"/>
          <w:numId w:val="0"/>
        </w:numPr>
        <w:ind w:left="0" w:hanging="0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207022825"/>
      <w:r>
        <w:rPr>
          <w:rFonts w:cs="Times New Roman" w:ascii="Times New Roman" w:hAnsi="Times New Roman"/>
          <w:color w:val="auto"/>
          <w:sz w:val="24"/>
          <w:szCs w:val="24"/>
        </w:rPr>
        <w:t>2.1. Требования к объемам и срокам поставки</w:t>
      </w:r>
      <w:bookmarkEnd w:id="5"/>
    </w:p>
    <w:p>
      <w:pPr>
        <w:pStyle w:val="Normal"/>
        <w:ind w:left="-142" w:hanging="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 </w:t>
      </w:r>
      <w:r>
        <w:rPr>
          <w:rFonts w:eastAsia="Calibri" w:cs="Times New Roman" w:ascii="Times New Roman" w:hAnsi="Times New Roman"/>
          <w:b/>
          <w:sz w:val="24"/>
          <w:szCs w:val="24"/>
        </w:rPr>
        <w:t>2.1.1. Перечень и объем закупаемой продукции</w:t>
      </w:r>
    </w:p>
    <w:p>
      <w:pPr>
        <w:pStyle w:val="Heading3"/>
        <w:numPr>
          <w:ilvl w:val="0"/>
          <w:numId w:val="0"/>
        </w:numPr>
        <w:ind w:left="0" w:hanging="0"/>
        <w:rPr>
          <w:color w:val="auto"/>
          <w:sz w:val="24"/>
          <w:szCs w:val="24"/>
        </w:rPr>
      </w:pPr>
      <w:bookmarkStart w:id="6" w:name="_Toc207022826"/>
      <w:r>
        <w:rPr>
          <w:color w:val="auto"/>
          <w:sz w:val="24"/>
          <w:szCs w:val="24"/>
        </w:rPr>
        <w:t>Таблица 1. Перечень и объем закупаемой продукции</w:t>
      </w:r>
      <w:bookmarkEnd w:id="6"/>
    </w:p>
    <w:p>
      <w:pPr>
        <w:pStyle w:val="BodyText"/>
        <w:rPr/>
      </w:pPr>
      <w:r>
        <w:rPr/>
      </w:r>
    </w:p>
    <w:tbl>
      <w:tblPr>
        <w:tblW w:w="9721" w:type="dxa"/>
        <w:jc w:val="left"/>
        <w:tblInd w:w="-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687"/>
        <w:gridCol w:w="3078"/>
        <w:gridCol w:w="1984"/>
        <w:gridCol w:w="1279"/>
        <w:gridCol w:w="2693"/>
      </w:tblGrid>
      <w:tr>
        <w:trPr>
          <w:trHeight w:val="500" w:hRule="atLeast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200"/>
              <w:contextualSpacing/>
              <w:jc w:val="center"/>
              <w:rPr/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Примечание</w:t>
            </w:r>
          </w:p>
        </w:tc>
      </w:tr>
      <w:tr>
        <w:trPr>
          <w:trHeight w:val="618" w:hRule="atLeast"/>
        </w:trPr>
        <w:tc>
          <w:tcPr>
            <w:tcW w:w="6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Рельсы КР140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64"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Cs w:val="24"/>
              </w:rPr>
              <w:t>В</w:t>
            </w:r>
            <w:r>
              <w:rPr>
                <w:color w:val="000000"/>
              </w:rPr>
              <w:t xml:space="preserve">ОР №СарФилиал — </w:t>
            </w:r>
            <w:r>
              <w:rPr>
                <w:color w:val="000000"/>
                <w:lang w:val="en-US"/>
              </w:rPr>
              <w:t xml:space="preserve">         </w:t>
            </w:r>
            <w:r>
              <w:rPr>
                <w:color w:val="000000"/>
              </w:rPr>
              <w:t>РП1 — 2027.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ind w:left="-142" w:hanging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b/>
          <w:sz w:val="24"/>
          <w:szCs w:val="24"/>
        </w:rPr>
        <w:t>2.1.2. Требования к срокам поставки продукции</w:t>
      </w:r>
    </w:p>
    <w:p>
      <w:pPr>
        <w:pStyle w:val="Heading3"/>
        <w:numPr>
          <w:ilvl w:val="2"/>
          <w:numId w:val="1"/>
        </w:numPr>
        <w:ind w:left="2148" w:hanging="720"/>
        <w:rPr>
          <w:b w:val="false"/>
          <w:bCs w:val="false"/>
          <w:color w:val="auto"/>
          <w:sz w:val="24"/>
          <w:szCs w:val="24"/>
        </w:rPr>
      </w:pPr>
      <w:bookmarkStart w:id="7" w:name="_Toc207022827"/>
      <w:r>
        <w:rPr>
          <w:color w:val="auto"/>
          <w:sz w:val="24"/>
          <w:szCs w:val="24"/>
        </w:rPr>
        <w:t xml:space="preserve">Таблица 2. </w:t>
      </w:r>
      <w:bookmarkStart w:id="8" w:name="_Hlk50465284"/>
      <w:r>
        <w:rPr>
          <w:color w:val="auto"/>
          <w:sz w:val="24"/>
          <w:szCs w:val="24"/>
        </w:rPr>
        <w:t xml:space="preserve">Требования по срокам </w:t>
      </w:r>
      <w:bookmarkEnd w:id="8"/>
      <w:r>
        <w:rPr>
          <w:color w:val="auto"/>
          <w:sz w:val="24"/>
          <w:szCs w:val="24"/>
        </w:rPr>
        <w:t>поставки продукции</w:t>
      </w:r>
      <w:bookmarkEnd w:id="7"/>
      <w:r>
        <w:rPr>
          <w:color w:val="auto"/>
          <w:sz w:val="24"/>
          <w:szCs w:val="24"/>
        </w:rPr>
        <w:t xml:space="preserve"> </w:t>
      </w:r>
    </w:p>
    <w:tbl>
      <w:tblPr>
        <w:tblW w:w="949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5"/>
        <w:gridCol w:w="2667"/>
        <w:gridCol w:w="2864"/>
        <w:gridCol w:w="3113"/>
      </w:tblGrid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1171" w:hRule="atLeast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napToGrid w:val="false"/>
              <w:spacing w:lineRule="auto" w:line="240" w:before="0" w:after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ОКПД2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24.1075.130 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Поставка рельс подкрановых путей для подъёмных сооружений Саратовской ГЭС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120 календарных дней с даты подписания договора</w:t>
            </w: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284" w:footer="0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2"/>
        <w:numPr>
          <w:ilvl w:val="0"/>
          <w:numId w:val="1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Toc207022828"/>
      <w:r>
        <w:rPr>
          <w:rFonts w:cs="Times New Roman" w:ascii="Times New Roman" w:hAnsi="Times New Roman"/>
          <w:color w:val="auto"/>
          <w:sz w:val="24"/>
          <w:szCs w:val="24"/>
        </w:rPr>
        <w:t xml:space="preserve">2.2. </w:t>
      </w:r>
      <w:bookmarkStart w:id="10" w:name="_Toc51339698"/>
      <w:bookmarkStart w:id="11" w:name="_Toc75446581"/>
      <w:bookmarkStart w:id="12" w:name="_Toc46743511"/>
      <w:r>
        <w:rPr>
          <w:rFonts w:cs="Times New Roman" w:ascii="Times New Roman" w:hAnsi="Times New Roman"/>
          <w:color w:val="auto"/>
          <w:sz w:val="24"/>
          <w:szCs w:val="24"/>
        </w:rPr>
        <w:t xml:space="preserve">Требования к </w:t>
      </w:r>
      <w:bookmarkEnd w:id="12"/>
      <w:r>
        <w:rPr>
          <w:rFonts w:cs="Times New Roman" w:ascii="Times New Roman" w:hAnsi="Times New Roman"/>
          <w:color w:val="auto"/>
          <w:sz w:val="24"/>
          <w:szCs w:val="24"/>
        </w:rPr>
        <w:t>качеству продукции</w:t>
      </w:r>
      <w:bookmarkEnd w:id="9"/>
      <w:bookmarkEnd w:id="10"/>
      <w:bookmarkEnd w:id="11"/>
    </w:p>
    <w:p>
      <w:pPr>
        <w:pStyle w:val="Normal"/>
        <w:numPr>
          <w:ilvl w:val="0"/>
          <w:numId w:val="1"/>
        </w:numPr>
        <w:jc w:val="both"/>
        <w:rPr>
          <w:shd w:fill="FFFFFF" w:val="clear"/>
        </w:rPr>
      </w:pPr>
      <w:bookmarkStart w:id="13" w:name="_Toc75446582"/>
      <w:r>
        <w:rPr>
          <w:rFonts w:eastAsia="Calibri" w:cs="Times New Roman" w:ascii="Times New Roman" w:hAnsi="Times New Roman"/>
          <w:b/>
          <w:bCs/>
          <w:iCs/>
          <w:sz w:val="24"/>
          <w:szCs w:val="24"/>
          <w:shd w:fill="FFFFFF" w:val="clear"/>
          <w:lang w:val="x-none" w:eastAsia="x-none"/>
        </w:rPr>
        <w:t>Таблица </w:t>
      </w:r>
      <w:r>
        <w:rPr>
          <w:rFonts w:eastAsia="Calibri" w:cs="Times New Roman" w:ascii="Times New Roman" w:hAnsi="Times New Roman"/>
          <w:b/>
          <w:bCs/>
          <w:iCs/>
          <w:sz w:val="24"/>
          <w:szCs w:val="24"/>
          <w:shd w:fill="FFFFFF" w:val="clear"/>
          <w:lang w:eastAsia="x-none"/>
        </w:rPr>
        <w:t>3</w:t>
      </w:r>
      <w:r>
        <w:rPr>
          <w:rFonts w:eastAsia="Calibri" w:cs="Times New Roman" w:ascii="Times New Roman" w:hAnsi="Times New Roman"/>
          <w:b/>
          <w:bCs/>
          <w:iCs/>
          <w:sz w:val="24"/>
          <w:szCs w:val="24"/>
          <w:shd w:fill="FFFFFF" w:val="clear"/>
          <w:lang w:val="x-none" w:eastAsia="x-none"/>
        </w:rPr>
        <w:t xml:space="preserve">. Требования к </w:t>
      </w:r>
      <w:r>
        <w:rPr>
          <w:rFonts w:eastAsia="Calibri" w:cs="Times New Roman" w:ascii="Times New Roman" w:hAnsi="Times New Roman"/>
          <w:b/>
          <w:bCs/>
          <w:iCs/>
          <w:sz w:val="24"/>
          <w:szCs w:val="24"/>
          <w:shd w:fill="FFFFFF" w:val="clear"/>
          <w:lang w:eastAsia="x-none"/>
        </w:rPr>
        <w:t>продукции</w:t>
      </w:r>
      <w:bookmarkEnd w:id="13"/>
      <w:r>
        <w:rPr>
          <w:rFonts w:eastAsia="Calibri" w:cs="Times New Roman" w:ascii="Times New Roman" w:hAnsi="Times New Roman"/>
          <w:b/>
          <w:bCs/>
          <w:iCs/>
          <w:sz w:val="24"/>
          <w:szCs w:val="24"/>
          <w:shd w:fill="FFFFFF" w:val="clear"/>
          <w:lang w:val="x-none" w:eastAsia="x-none"/>
        </w:rPr>
        <w:t xml:space="preserve">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color w:val="000000"/>
          <w:sz w:val="24"/>
          <w:szCs w:val="24"/>
        </w:rPr>
        <w:t>Наименование продукции (позиция №1 Таблицы 1 «Перечень и объем закупаемой продукции»)</w:t>
      </w:r>
      <w:r>
        <w:rPr>
          <w:rFonts w:cs="Times New Roman" w:ascii="Times New Roman" w:hAnsi="Times New Roman"/>
          <w:b/>
          <w:bCs/>
          <w:iCs/>
          <w:color w:val="000000"/>
          <w:sz w:val="24"/>
          <w:szCs w:val="24"/>
          <w:shd w:fill="FFFFFF" w:val="clear"/>
        </w:rPr>
        <w:t xml:space="preserve">: </w:t>
      </w:r>
      <w:r>
        <w:rPr>
          <w:rFonts w:cs="Times New Roman" w:ascii="Times New Roman" w:hAnsi="Times New Roman"/>
          <w:b/>
          <w:bCs/>
          <w:iCs/>
          <w:color w:val="000000"/>
          <w:sz w:val="24"/>
          <w:szCs w:val="24"/>
        </w:rPr>
        <w:t xml:space="preserve">ОКПД2 </w:t>
      </w:r>
      <w:r>
        <w:rPr>
          <w:rFonts w:cs="Times New Roman" w:ascii="Times New Roman" w:hAnsi="Times New Roman"/>
          <w:b/>
          <w:sz w:val="24"/>
          <w:szCs w:val="24"/>
        </w:rPr>
        <w:t xml:space="preserve">24.10.75.130 </w:t>
      </w:r>
      <w:r>
        <w:rPr>
          <w:rFonts w:cs="Times New Roman" w:ascii="Times New Roman" w:hAnsi="Times New Roman"/>
          <w:b/>
          <w:bCs/>
          <w:iCs/>
          <w:color w:val="000000"/>
          <w:sz w:val="24"/>
          <w:szCs w:val="24"/>
        </w:rPr>
        <w:t xml:space="preserve"> Поставка для подкрановых путей подъёмных сооружений </w:t>
      </w:r>
      <w:r>
        <w:rPr>
          <w:rFonts w:cs="Times New Roman" w:ascii="Times New Roman" w:hAnsi="Times New Roman"/>
          <w:b/>
          <w:sz w:val="24"/>
          <w:szCs w:val="24"/>
          <w:lang w:eastAsia="en-US"/>
        </w:rPr>
        <w:t>Саратовской ГЭС</w:t>
      </w:r>
      <w:r>
        <w:rPr>
          <w:rFonts w:cs="Times New Roman"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</w:p>
    <w:tbl>
      <w:tblPr>
        <w:tblW w:w="15403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000" w:noHBand="0" w:noVBand="0" w:firstColumn="0" w:lastRow="0" w:lastColumn="0" w:firstRow="0"/>
      </w:tblPr>
      <w:tblGrid>
        <w:gridCol w:w="1070"/>
        <w:gridCol w:w="4185"/>
        <w:gridCol w:w="4855"/>
        <w:gridCol w:w="3039"/>
        <w:gridCol w:w="2254"/>
      </w:tblGrid>
      <w:tr>
        <w:trPr/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4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5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107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8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5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>
        <w:trPr>
          <w:trHeight w:val="598" w:hRule="atLeast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lang w:eastAsia="ru-RU"/>
              </w:rPr>
              <w:t>Основные требования к техническим и функциональным характеристикам</w:t>
            </w:r>
          </w:p>
        </w:tc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3" w:hRule="atLeast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jc w:val="center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4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Рельсы КР140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 Р 53866-2010</w:t>
            </w:r>
          </w:p>
        </w:tc>
        <w:tc>
          <w:tcPr>
            <w:tcW w:w="3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981" w:hRule="atLeast"/>
        </w:trPr>
        <w:tc>
          <w:tcPr>
            <w:tcW w:w="10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Длина, м: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 – 12 шт.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3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90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3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jc w:val="center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РФ, 413840, Саратовская обл., г. Балаково, территория филиала ПАО «РусГидро»-«Саратовская ГЭС».</w:t>
            </w:r>
          </w:p>
        </w:tc>
        <w:tc>
          <w:tcPr>
            <w:tcW w:w="3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jc w:val="center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Поставка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Поставщик должен обеспечить поставку 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284" w:leader="none"/>
              </w:tabs>
              <w:spacing w:before="0" w:after="20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Информация о транспорте, на котором осуществляется доставка Продукции, для оформления допуска на территорию Филиала ПАО «РусГидро» - «Саратовская ГЭС» предоставляется Поставщиком Покупателю не позднее </w:t>
            </w:r>
            <w:r>
              <w:rPr>
                <w:bCs/>
                <w:sz w:val="24"/>
                <w:szCs w:val="24"/>
                <w:lang w:eastAsia="en-US"/>
              </w:rPr>
              <w:t>чем за 2 рабочих дня, предшествующих дню поставки. Разгрузка верхняя.</w:t>
            </w:r>
          </w:p>
        </w:tc>
        <w:tc>
          <w:tcPr>
            <w:tcW w:w="3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jc w:val="center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Маркировка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На каждой упаковке полное наименование продукции</w:t>
            </w:r>
          </w:p>
        </w:tc>
        <w:tc>
          <w:tcPr>
            <w:tcW w:w="3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31" w:hRule="atLeast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jc w:val="center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Приемка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Приемка Продукции на соответствие продукции и представленных документов договору и техническим требованиям осуществляется на территории Филиала ПАО «РусГидро» - «Саратовская ГЭС» в рабочие дни: с 8-00 до 12-00 и с 13-00 до 16-00 (по местному времени).</w:t>
            </w:r>
          </w:p>
        </w:tc>
        <w:tc>
          <w:tcPr>
            <w:tcW w:w="3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jc w:val="center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Сроки гарантии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12 месяцев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  <w:tc>
          <w:tcPr>
            <w:tcW w:w="3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jc w:val="center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</w:r>
          </w:p>
        </w:tc>
        <w:tc>
          <w:tcPr>
            <w:tcW w:w="418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Документ о качестве продукции</w:t>
            </w:r>
          </w:p>
        </w:tc>
        <w:tc>
          <w:tcPr>
            <w:tcW w:w="4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 поставке продукция должна быть укомплектована документами на русском языке, удостоверяющими качество продукции и гарантийные обязательства производителя, выданными производителем продукции.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Документы, предоставляемые при поставке продукции (на русском языке):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паспорт на каждое наименование продукции, с указанием в нем соответствия нормативным показателям, даты изготовления, отметки о проверке ОТК;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инструкция по эксплуатации;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сертификат соответствия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гарантийный талон или другой документ, выполнение требований которого является</w:t>
            </w:r>
          </w:p>
          <w:p>
            <w:pPr>
              <w:pStyle w:val="Style16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условием выполнения гарантийных обязательств производителя или Поставщика.</w:t>
            </w:r>
          </w:p>
        </w:tc>
        <w:tc>
          <w:tcPr>
            <w:tcW w:w="3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9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240" w:after="60"/>
              <w:ind w:lef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(дополнительные) т</w:t>
            </w:r>
            <w:bookmarkStart w:id="14" w:name="_Toc75446581_Копия_1"/>
            <w:bookmarkStart w:id="15" w:name="_Toc51339698_Копия_1"/>
            <w:bookmarkStart w:id="16" w:name="_Toc46743511_Копия_1"/>
            <w:r>
              <w:rPr>
                <w:rFonts w:ascii="Times New Roman" w:hAnsi="Times New Roman"/>
                <w:sz w:val="24"/>
                <w:szCs w:val="24"/>
              </w:rPr>
              <w:t>ребования к</w:t>
            </w:r>
            <w:bookmarkEnd w:id="16"/>
            <w:r>
              <w:rPr>
                <w:rFonts w:ascii="Times New Roman" w:hAnsi="Times New Roman"/>
                <w:sz w:val="24"/>
                <w:szCs w:val="24"/>
              </w:rPr>
              <w:t xml:space="preserve"> продукции</w:t>
            </w:r>
            <w:bookmarkEnd w:id="14"/>
            <w:bookmarkEnd w:id="15"/>
          </w:p>
        </w:tc>
        <w:tc>
          <w:tcPr>
            <w:tcW w:w="3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60" w:after="60"/>
              <w:ind w:left="-117" w:hanging="0"/>
              <w:contextualSpacing/>
              <w:jc w:val="center"/>
              <w:rPr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  <w:lang w:eastAsia="x-none"/>
              </w:rPr>
              <w:t>5.1.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x-none"/>
              </w:rPr>
              <w:t>Требование к качеству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x-none"/>
              </w:rPr>
              <w:t>Продукция должна соответствовать обязательным требованиям, установленным нормативными документами, действующими в РФ.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x-none"/>
              </w:rPr>
              <w:t>Продукция должна быть новой, ранее не использовавшейся.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30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207022829"/>
      <w:r>
        <w:rPr>
          <w:rFonts w:cs="Times New Roman" w:ascii="Times New Roman" w:hAnsi="Times New Roman"/>
          <w:iCs/>
          <w:sz w:val="24"/>
          <w:szCs w:val="24"/>
        </w:rPr>
        <w:t xml:space="preserve">3. </w:t>
      </w:r>
      <w:r>
        <w:rPr>
          <w:rFonts w:cs="Times New Roman" w:ascii="Times New Roman" w:hAnsi="Times New Roman"/>
          <w:sz w:val="24"/>
          <w:szCs w:val="24"/>
        </w:rPr>
        <w:t>Требования к документации по ценообразованию на этапе закупки</w:t>
      </w:r>
      <w:bookmarkEnd w:id="17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iCs/>
          <w:sz w:val="24"/>
          <w:szCs w:val="24"/>
        </w:rPr>
        <w:t>3.2. Дополнительные документы по ценообразованию в состав заявки не включаются.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headerReference w:type="first" r:id="rId3"/>
      <w:type w:val="nextPage"/>
      <w:pgSz w:orient="landscape" w:w="16838" w:h="11906"/>
      <w:pgMar w:left="720" w:right="720" w:gutter="0" w:header="680" w:top="737" w:footer="0" w:bottom="720"/>
      <w:pgNumType w:fmt="decimal"/>
      <w:formProt w:val="false"/>
      <w:titlePg/>
      <w:textDirection w:val="lrTb"/>
      <w:docGrid w:type="default" w:linePitch="381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 Light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jc w:val="center"/>
      <w:rPr/>
    </w:pPr>
    <w:r>
      <w:rPr/>
      <w:t>5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674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BodyText"/>
    <w:qFormat/>
    <w:pPr>
      <w:widowControl w:val="false"/>
      <w:numPr>
        <w:ilvl w:val="1"/>
        <w:numId w:val="1"/>
      </w:numPr>
      <w:spacing w:before="200" w:after="0"/>
      <w:ind w:left="1788" w:hanging="720"/>
      <w:outlineLvl w:val="1"/>
    </w:pPr>
    <w:rPr>
      <w:rFonts w:ascii="Cambria" w:hAnsi="Cambria" w:eastAsia="Calibri" w:cs="Cambria"/>
      <w:b/>
      <w:bCs/>
      <w:color w:val="4F81BD"/>
      <w:sz w:val="28"/>
      <w:szCs w:val="26"/>
    </w:rPr>
  </w:style>
  <w:style w:type="paragraph" w:styleId="Heading3">
    <w:name w:val="Heading 3"/>
    <w:basedOn w:val="Normal"/>
    <w:next w:val="BodyText"/>
    <w:qFormat/>
    <w:pPr>
      <w:widowControl w:val="false"/>
      <w:numPr>
        <w:ilvl w:val="2"/>
        <w:numId w:val="1"/>
      </w:numPr>
      <w:spacing w:lineRule="atLeast" w:line="100" w:before="200" w:after="0"/>
      <w:ind w:left="2148" w:hanging="720"/>
      <w:outlineLvl w:val="2"/>
    </w:pPr>
    <w:rPr>
      <w:rFonts w:ascii="Times New Roman" w:hAnsi="Times New Roman" w:eastAsia="Calibri" w:cs="Times New Roman"/>
      <w:b/>
      <w:bCs/>
      <w:color w:val="3366FF"/>
      <w:sz w:val="28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1" w:customStyle="1">
    <w:name w:val="WW8Num1z1"/>
    <w:qFormat/>
    <w:rPr>
      <w:rFonts w:ascii="OpenSymbol" w:hAnsi="OpenSymbol" w:eastAsia="Times New Roman"/>
    </w:rPr>
  </w:style>
  <w:style w:type="character" w:styleId="WW8Num2z0" w:customStyle="1">
    <w:name w:val="WW8Num2z0"/>
    <w:qFormat/>
    <w:rPr>
      <w:b/>
    </w:rPr>
  </w:style>
  <w:style w:type="character" w:styleId="WW8Num3z2" w:customStyle="1">
    <w:name w:val="WW8Num3z2"/>
    <w:qFormat/>
    <w:rPr>
      <w:b w:val="false"/>
      <w:bCs w:val="false"/>
    </w:rPr>
  </w:style>
  <w:style w:type="character" w:styleId="WW8Num4z0" w:customStyle="1">
    <w:name w:val="WW8Num4z0"/>
    <w:qFormat/>
    <w:rPr>
      <w:rFonts w:cs="Times New Roman"/>
    </w:rPr>
  </w:style>
  <w:style w:type="character" w:styleId="WW8Num5z0" w:customStyle="1">
    <w:name w:val="WW8Num5z0"/>
    <w:qFormat/>
    <w:rPr>
      <w:rFonts w:cs="Times New Roman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rFonts w:cs="Times New Roman"/>
    </w:rPr>
  </w:style>
  <w:style w:type="character" w:styleId="WW8Num8z0" w:customStyle="1">
    <w:name w:val="WW8Num8z0"/>
    <w:qFormat/>
    <w:rPr>
      <w:b/>
      <w:bCs w:val="false"/>
      <w:sz w:val="24"/>
      <w:szCs w:val="24"/>
    </w:rPr>
  </w:style>
  <w:style w:type="character" w:styleId="WW8Num8z1" w:customStyle="1">
    <w:name w:val="WW8Num8z1"/>
    <w:qFormat/>
    <w:rPr>
      <w:b w:val="false"/>
      <w:bCs/>
      <w:sz w:val="24"/>
      <w:szCs w:val="24"/>
    </w:rPr>
  </w:style>
  <w:style w:type="character" w:styleId="WW8Num8z2" w:customStyle="1">
    <w:name w:val="WW8Num8z2"/>
    <w:qFormat/>
    <w:rPr>
      <w:sz w:val="24"/>
      <w:szCs w:val="24"/>
    </w:rPr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cs="Times New Roman"/>
    </w:rPr>
  </w:style>
  <w:style w:type="character" w:styleId="WW8Num11z0" w:customStyle="1">
    <w:name w:val="WW8Num11z0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rFonts w:cs="Times New Roman"/>
    </w:rPr>
  </w:style>
  <w:style w:type="character" w:styleId="WW8Num14z0" w:customStyle="1">
    <w:name w:val="WW8Num14z0"/>
    <w:qFormat/>
    <w:rPr>
      <w:rFonts w:cs="Times New Roman"/>
    </w:rPr>
  </w:style>
  <w:style w:type="character" w:styleId="WW8Num16z0" w:customStyle="1">
    <w:name w:val="WW8Num16z0"/>
    <w:qFormat/>
    <w:rPr>
      <w:rFonts w:ascii="Times New Roman" w:hAnsi="Times New Roman"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8"/>
      <w:sz w:val="28"/>
      <w:szCs w:val="28"/>
      <w:u w:val="none"/>
      <w:vertAlign w:val="baseline"/>
      <w:em w:val="none"/>
    </w:rPr>
  </w:style>
  <w:style w:type="character" w:styleId="WW8Num16z1" w:customStyle="1">
    <w:name w:val="WW8Num16z1"/>
    <w:qFormat/>
    <w:rPr>
      <w:b/>
      <w:bCs/>
      <w:i w:val="false"/>
      <w:iCs/>
      <w:sz w:val="24"/>
      <w:szCs w:val="24"/>
    </w:rPr>
  </w:style>
  <w:style w:type="character" w:styleId="WW8Num16z2" w:customStyle="1">
    <w:name w:val="WW8Num16z2"/>
    <w:qFormat/>
    <w:rPr/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>
      <w:rFonts w:cs="Times New Roman"/>
    </w:rPr>
  </w:style>
  <w:style w:type="character" w:styleId="WW8Num19z0" w:customStyle="1">
    <w:name w:val="WW8Num19z0"/>
    <w:qFormat/>
    <w:rPr>
      <w:rFonts w:cs="Times New Roman"/>
    </w:rPr>
  </w:style>
  <w:style w:type="character" w:styleId="WW8Num20z0" w:customStyle="1">
    <w:name w:val="WW8Num20z0"/>
    <w:qFormat/>
    <w:rPr>
      <w:rFonts w:cs="Times New Roman"/>
    </w:rPr>
  </w:style>
  <w:style w:type="character" w:styleId="2" w:customStyle="1">
    <w:name w:val="Заголовок 2 Знак"/>
    <w:qFormat/>
    <w:rPr>
      <w:rFonts w:ascii="Cambria" w:hAnsi="Cambria" w:eastAsia="Calibri" w:cs="Cambria"/>
      <w:b/>
      <w:bCs/>
      <w:color w:val="4F81BD"/>
      <w:sz w:val="28"/>
      <w:szCs w:val="26"/>
      <w:lang w:val="ru-RU" w:bidi="ar-SA"/>
    </w:rPr>
  </w:style>
  <w:style w:type="character" w:styleId="3" w:customStyle="1">
    <w:name w:val="Заголовок 3 Знак"/>
    <w:qFormat/>
    <w:rPr>
      <w:rFonts w:eastAsia="Calibri"/>
      <w:b/>
      <w:bCs/>
      <w:color w:val="3366FF"/>
      <w:sz w:val="28"/>
      <w:lang w:val="ru-RU" w:bidi="ar-SA"/>
    </w:rPr>
  </w:style>
  <w:style w:type="character" w:styleId="Style5" w:customStyle="1">
    <w:name w:val="Основной текст_"/>
    <w:qFormat/>
    <w:rPr>
      <w:sz w:val="28"/>
      <w:shd w:fill="FFFFFF" w:val="clear"/>
      <w:lang w:bidi="ar-SA"/>
    </w:rPr>
  </w:style>
  <w:style w:type="character" w:styleId="Style6" w:customStyle="1">
    <w:name w:val="Основной текст + Малые прописные"/>
    <w:qFormat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 w:val="28"/>
      <w:u w:val="none"/>
      <w:vertAlign w:val="baseline"/>
      <w:lang w:val="ru-RU"/>
    </w:rPr>
  </w:style>
  <w:style w:type="character" w:styleId="Hyperlink">
    <w:name w:val="Hyperlink"/>
    <w:uiPriority w:val="99"/>
    <w:rPr>
      <w:color w:val="339999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21" w:customStyle="1">
    <w:name w:val="Основной текст (2)_"/>
    <w:qFormat/>
    <w:rPr>
      <w:lang w:bidi="ar-SA"/>
    </w:rPr>
  </w:style>
  <w:style w:type="character" w:styleId="1" w:customStyle="1">
    <w:name w:val="Заголовок №1_"/>
    <w:qFormat/>
    <w:rPr>
      <w:b/>
      <w:bCs/>
      <w:sz w:val="23"/>
      <w:szCs w:val="23"/>
      <w:lang w:bidi="ar-SA"/>
    </w:rPr>
  </w:style>
  <w:style w:type="character" w:styleId="11" w:customStyle="1">
    <w:name w:val="Заголовок №1 + Не полужирный"/>
    <w:basedOn w:val="1"/>
    <w:qFormat/>
    <w:rPr>
      <w:b/>
      <w:bCs/>
      <w:sz w:val="23"/>
      <w:szCs w:val="23"/>
      <w:lang w:bidi="ar-SA"/>
    </w:rPr>
  </w:style>
  <w:style w:type="character" w:styleId="Style7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8" w:customStyle="1">
    <w:name w:val="Текст примечания Знак"/>
    <w:qFormat/>
    <w:rPr>
      <w:rFonts w:ascii="Calibri" w:hAnsi="Calibri" w:cs="Calibri"/>
    </w:rPr>
  </w:style>
  <w:style w:type="character" w:styleId="Style9" w:customStyle="1">
    <w:name w:val="Тема примечания Знак"/>
    <w:qFormat/>
    <w:rPr>
      <w:rFonts w:ascii="Calibri" w:hAnsi="Calibri" w:cs="Calibri"/>
      <w:b/>
      <w:bCs/>
    </w:rPr>
  </w:style>
  <w:style w:type="character" w:styleId="4" w:customStyle="1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yle10" w:customStyle="1">
    <w:name w:val="Ссылка указателя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Normal"/>
    <w:qFormat/>
    <w:pPr>
      <w:suppressLineNumbers/>
    </w:pPr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widowControl w:val="false"/>
      <w:spacing w:before="0" w:after="200"/>
      <w:contextualSpacing/>
    </w:pPr>
    <w:rPr>
      <w:rFonts w:ascii="Times New Roman" w:hAnsi="Times New Roman" w:eastAsia="Calibri" w:cs="Times New Roman"/>
    </w:rPr>
  </w:style>
  <w:style w:type="paragraph" w:styleId="12" w:customStyle="1">
    <w:name w:val="Основной текст1"/>
    <w:basedOn w:val="Normal"/>
    <w:qFormat/>
    <w:pPr>
      <w:widowControl w:val="false"/>
      <w:shd w:val="clear" w:color="auto" w:fill="FFFFFF"/>
      <w:spacing w:lineRule="exact" w:line="302" w:before="0" w:after="0"/>
    </w:pPr>
    <w:rPr>
      <w:rFonts w:ascii="Times New Roman" w:hAnsi="Times New Roman" w:cs="Times New Roman"/>
      <w:sz w:val="28"/>
      <w:szCs w:val="20"/>
      <w:shd w:fill="FFFFFF" w:val="clear"/>
      <w:lang w:eastAsia="ru-RU"/>
    </w:rPr>
  </w:style>
  <w:style w:type="paragraph" w:styleId="22" w:customStyle="1">
    <w:name w:val="Основной текст (2)"/>
    <w:basedOn w:val="Normal"/>
    <w:qFormat/>
    <w:pPr>
      <w:shd w:val="clear" w:color="auto" w:fill="FFFFFF"/>
      <w:spacing w:lineRule="atLeast" w:line="240" w:before="0" w:after="0"/>
    </w:pPr>
    <w:rPr>
      <w:rFonts w:ascii="Times New Roman" w:hAnsi="Times New Roman" w:cs="Times New Roman"/>
      <w:sz w:val="20"/>
      <w:szCs w:val="20"/>
      <w:lang w:eastAsia="ru-RU"/>
    </w:rPr>
  </w:style>
  <w:style w:type="paragraph" w:styleId="13" w:customStyle="1">
    <w:name w:val="Заголовок №1"/>
    <w:basedOn w:val="Normal"/>
    <w:qFormat/>
    <w:pPr>
      <w:shd w:val="clear" w:color="auto" w:fill="FFFFFF"/>
      <w:spacing w:lineRule="exact" w:line="274" w:before="0" w:after="0"/>
      <w:outlineLvl w:val="0"/>
    </w:pPr>
    <w:rPr>
      <w:rFonts w:ascii="Times New Roman" w:hAnsi="Times New Roman" w:cs="Times New Roman"/>
      <w:b/>
      <w:bCs/>
      <w:sz w:val="23"/>
      <w:szCs w:val="23"/>
      <w:lang w:eastAsia="ru-RU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TOC1">
    <w:name w:val="TOC 1"/>
    <w:basedOn w:val="Normal"/>
    <w:next w:val="Normal"/>
    <w:uiPriority w:val="39"/>
    <w:pPr>
      <w:tabs>
        <w:tab w:val="clear" w:pos="708"/>
        <w:tab w:val="left" w:pos="560" w:leader="none"/>
        <w:tab w:val="right" w:pos="9911" w:leader="dot"/>
      </w:tabs>
      <w:spacing w:lineRule="auto" w:line="240" w:before="120" w:after="0"/>
      <w:ind w:right="-567" w:hanging="0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TOC3">
    <w:name w:val="TOC 3"/>
    <w:basedOn w:val="Normal"/>
    <w:next w:val="Normal"/>
    <w:uiPriority w:val="39"/>
    <w:pPr>
      <w:tabs>
        <w:tab w:val="clear" w:pos="708"/>
        <w:tab w:val="left" w:pos="1120" w:leader="none"/>
        <w:tab w:val="right" w:pos="9911" w:leader="dot"/>
      </w:tabs>
      <w:spacing w:lineRule="auto" w:line="240" w:before="0" w:after="0"/>
      <w:ind w:left="280" w:firstLine="287"/>
    </w:pPr>
    <w:rPr>
      <w:rFonts w:ascii="Times New Roman" w:hAnsi="Times New Roman" w:cs="Times New Roman"/>
      <w:sz w:val="20"/>
      <w:szCs w:val="20"/>
      <w:lang w:eastAsia="ru-RU"/>
    </w:rPr>
  </w:style>
  <w:style w:type="paragraph" w:styleId="TOC4">
    <w:name w:val="TOC 4"/>
    <w:basedOn w:val="Normal"/>
    <w:next w:val="Normal"/>
    <w:uiPriority w:val="39"/>
    <w:pPr>
      <w:tabs>
        <w:tab w:val="clear" w:pos="708"/>
        <w:tab w:val="left" w:pos="1120" w:leader="none"/>
        <w:tab w:val="right" w:pos="9911" w:leader="dot"/>
      </w:tabs>
      <w:spacing w:lineRule="auto" w:line="240" w:before="0" w:after="0"/>
      <w:ind w:left="560" w:hanging="0"/>
    </w:pPr>
    <w:rPr>
      <w:rFonts w:ascii="Times New Roman" w:hAnsi="Times New Roman" w:cs="Times New Roman"/>
      <w:iCs/>
      <w:sz w:val="20"/>
      <w:szCs w:val="20"/>
      <w:lang w:eastAsia="ru-RU"/>
    </w:rPr>
  </w:style>
  <w:style w:type="paragraph" w:styleId="TOC2">
    <w:name w:val="TOC 2"/>
    <w:basedOn w:val="Normal"/>
    <w:next w:val="Normal"/>
    <w:uiPriority w:val="39"/>
    <w:pPr>
      <w:ind w:left="220" w:hanging="0"/>
    </w:pPr>
    <w:rPr/>
  </w:style>
  <w:style w:type="paragraph" w:styleId="NoSpacing">
    <w:name w:val="No Spacing"/>
    <w:basedOn w:val="Normal"/>
    <w:qFormat/>
    <w:pPr>
      <w:spacing w:lineRule="auto" w:line="360" w:before="0" w:after="0"/>
    </w:pPr>
    <w:rPr>
      <w:rFonts w:ascii="Times New Roman" w:hAnsi="Times New Roman" w:eastAsia="Calibri" w:cs="Times New Roman"/>
      <w:sz w:val="24"/>
      <w:szCs w:val="24"/>
    </w:rPr>
  </w:style>
  <w:style w:type="paragraph" w:styleId="Style1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4" w:customStyle="1">
    <w:name w:val="Заголовок таблицы"/>
    <w:basedOn w:val="Style13"/>
    <w:qFormat/>
    <w:pPr>
      <w:jc w:val="center"/>
    </w:pPr>
    <w:rPr>
      <w:b/>
      <w:bCs/>
    </w:rPr>
  </w:style>
  <w:style w:type="paragraph" w:styleId="Style15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31" w:customStyle="1">
    <w:name w:val="Абзац списка3"/>
    <w:basedOn w:val="Normal"/>
    <w:qFormat/>
    <w:pPr>
      <w:spacing w:before="0" w:after="200"/>
      <w:ind w:left="720" w:hanging="0"/>
      <w:contextualSpacing/>
    </w:pPr>
    <w:rPr>
      <w:lang w:eastAsia="en-US"/>
    </w:rPr>
  </w:style>
  <w:style w:type="paragraph" w:styleId="IndexHeading">
    <w:name w:val="Index Heading"/>
    <w:basedOn w:val="Style11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316cd6"/>
    <w:pPr>
      <w:keepLines/>
      <w:numPr>
        <w:ilvl w:val="0"/>
        <w:numId w:val="0"/>
      </w:numPr>
      <w:suppressAutoHyphens w:val="false"/>
      <w:spacing w:lineRule="auto" w:line="259" w:before="240" w:after="0"/>
      <w:outlineLvl w:val="9"/>
    </w:pPr>
    <w:rPr>
      <w:rFonts w:ascii="Calibri Light" w:hAnsi="Calibri Light" w:eastAsia="" w:cs="" w:asciiTheme="majorHAnsi" w:cstheme="majorBidi" w:eastAsiaTheme="majorEastAsia" w:hAnsiTheme="majorHAnsi"/>
      <w:b w:val="false"/>
      <w:bCs w:val="false"/>
      <w:color w:val="2E74B5" w:themeColor="accent1" w:themeShade="bf"/>
      <w:kern w:val="0"/>
      <w:lang w:eastAsia="ru-RU"/>
    </w:rPr>
  </w:style>
  <w:style w:type="paragraph" w:styleId="Style16" w:customStyle="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7D391-1AD5-4F50-9644-65B75492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AlterOffice/3.4.0.9$Linux_X86_64 LibreOffice_project/b8daf9e823b1a5463a2f48435ddc2e8696e7d4fc</Application>
  <AppVersion>15.0000</AppVersion>
  <Pages>6</Pages>
  <Words>691</Words>
  <Characters>4803</Characters>
  <CharactersWithSpaces>5414</CharactersWithSpaces>
  <Paragraphs>109</Paragraphs>
  <Company>HRVKK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2025-08-25T11:25:00Z</dcterms:created>
  <dc:creator>Карандашев Сергей</dc:creator>
  <dc:description/>
  <dc:language>ru-RU</dc:language>
  <cp:lastModifiedBy/>
  <cp:lastPrinted>2025-08-19T16:20:00Z</cp:lastPrinted>
  <dcterms:modified xsi:type="dcterms:W3CDTF">2026-06-24T08:07:52Z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