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ТЕХНИЧЕСКОЕ ЗАДАНИЕ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на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поставку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spacing w:val="-2"/>
          <w:sz w:val="24"/>
          <w:szCs w:val="24"/>
          <w:lang w:eastAsia="ru-RU"/>
        </w:rPr>
        <w:t xml:space="preserve">сетевого оборудования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(ЗНТ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082-0037434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)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для нужд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филиала ПАО «Россети Московский регион» - Южные электрические сети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.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Организация: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Южные электрические сети - филиал ПАО «Россети Московский регион»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Адрес: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Московская область, г. Подольск, ул.Кирова, д-65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u w:val="single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Контактное лицо: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Начальник ОИТ Дыкин Д.В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.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Начальная (максимальная) цена : 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495 350,32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руб. с НДС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                                                      </w:t>
      </w:r>
      <w:r>
        <w:rPr>
          <w:rFonts w:ascii="Times New Roman" w:hAnsi="Times New Roman" w:cs="Times New Roman" w:eastAsia="Times New Roman"/>
          <w:lang w:eastAsia="ru-RU"/>
        </w:rPr>
        <w:t xml:space="preserve">В том числе</w:t>
      </w:r>
      <w:r>
        <w:rPr>
          <w:rFonts w:ascii="Times New Roman" w:hAnsi="Times New Roman" w:cs="Times New Roman" w:eastAsia="Times New Roman"/>
          <w:lang w:eastAsia="ru-RU"/>
        </w:rPr>
        <w:t xml:space="preserve"> НДС 22%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pStyle w:val="824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Основные требования.</w:t>
      </w:r>
      <w:r/>
    </w:p>
    <w:p>
      <w:pPr>
        <w:pStyle w:val="824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Обязательная поставка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сетевого оборудования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указанных в таблице № 1.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Не допускается подача предложений на отдельные позиции или часть объема, указанного в перечне.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i/>
          <w:lang w:eastAsia="ru-RU"/>
        </w:rPr>
      </w:pPr>
      <w:r>
        <w:rPr>
          <w:rFonts w:ascii="Times New Roman" w:hAnsi="Times New Roman" w:cs="Times New Roman" w:eastAsia="Times New Roman"/>
          <w:i/>
          <w:lang w:eastAsia="ru-RU"/>
        </w:rPr>
        <w:t xml:space="preserve">                                                                                                                                       Таблица № 1                                    </w:t>
      </w:r>
      <w:r/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3684"/>
        <w:gridCol w:w="567"/>
        <w:gridCol w:w="1134"/>
        <w:gridCol w:w="3685"/>
      </w:tblGrid>
      <w:tr>
        <w:trPr>
          <w:trHeight w:val="1022"/>
        </w:trPr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9" w:type="dxa"/>
            <w:textDirection w:val="lrTb"/>
            <w:noWrap w:val="false"/>
          </w:tcPr>
          <w:p>
            <w:pPr>
              <w:jc w:val="both"/>
              <w:spacing w:lineRule="exact" w:line="248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№ п/п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Наименование продукции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Rule="exact" w:line="248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Единица измерени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exact" w:line="252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Количест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во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5" w:type="dxa"/>
            <w:textDirection w:val="lrTb"/>
            <w:noWrap w:val="false"/>
          </w:tcPr>
          <w:p>
            <w:pPr>
              <w:jc w:val="center"/>
              <w:spacing w:lineRule="exact" w:line="248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Адрес поставки товара</w:t>
            </w:r>
            <w:r/>
          </w:p>
        </w:tc>
      </w:tr>
      <w:tr>
        <w:trPr>
          <w:trHeight w:val="1041"/>
        </w:trPr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  <w:t xml:space="preserve">Кабель UTP,  5e, 4 пары, 4х2х0.51, 305м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БУХ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10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г. Подольск, Домодедовское шоссе,     д-43А</w:t>
            </w:r>
            <w:r/>
          </w:p>
        </w:tc>
      </w:tr>
      <w:tr>
        <w:trPr>
          <w:trHeight w:val="1041"/>
        </w:trPr>
        <w:tc>
          <w:tcPr>
            <w:shd w:val="clear" w:fill="FFFFFF" w:color="FFFFFF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6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shd w:val="clear" w:fill="FFFFFF" w:color="FFFFFF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84" w:type="dxa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  <w:t xml:space="preserve">Комплект клавиат. и мыши беспровод. USB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КМП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55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</w:r>
            <w:r/>
          </w:p>
        </w:tc>
        <w:tc>
          <w:tcPr>
            <w:shd w:val="clear" w:fill="FFFFFF" w:color="FFFFFF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8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г. Подольск, Домодедовское шоссе,     д-43А</w:t>
            </w:r>
            <w:r>
              <w:rPr>
                <w:rFonts w:ascii="Times New Roman" w:hAnsi="Times New Roman"/>
              </w:rPr>
            </w:r>
            <w:r/>
          </w:p>
        </w:tc>
      </w:tr>
    </w:tbl>
    <w:p>
      <w:pPr>
        <w:ind w:right="500"/>
        <w:keepLines/>
        <w:keepNext/>
        <w:spacing w:lineRule="exact" w:line="274" w:after="0"/>
        <w:rPr>
          <w:rFonts w:ascii="Times New Roman" w:hAnsi="Times New Roman" w:cs="Times New Roman" w:eastAsia="Times New Roman"/>
          <w:b/>
          <w:bCs/>
          <w:lang w:eastAsia="ru-RU"/>
        </w:rPr>
        <w:outlineLvl w:val="1"/>
      </w:pPr>
      <w:r/>
      <w:bookmarkStart w:id="0" w:name="bookmark0"/>
      <w:r/>
      <w:r/>
    </w:p>
    <w:p>
      <w:pPr>
        <w:pStyle w:val="824"/>
        <w:numPr>
          <w:ilvl w:val="1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Cs/>
          <w:color w:val="FF0000"/>
          <w:lang w:eastAsia="ru-RU"/>
        </w:rPr>
        <w:outlineLvl w:val="1"/>
      </w:pPr>
      <w:r>
        <w:rPr>
          <w:rFonts w:ascii="Times New Roman" w:hAnsi="Times New Roman" w:cs="Times New Roman" w:eastAsia="Times New Roman"/>
          <w:bCs/>
          <w:lang w:eastAsia="ru-RU"/>
        </w:rPr>
        <w:t xml:space="preserve">Стоимость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сетевого оборудования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должна включать все налоги и обязательные платежи и доставку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.</w:t>
      </w:r>
      <w:r/>
    </w:p>
    <w:p>
      <w:pPr>
        <w:pStyle w:val="824"/>
        <w:numPr>
          <w:ilvl w:val="1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Cs/>
          <w:color w:val="FF0000"/>
          <w:lang w:eastAsia="ru-RU"/>
        </w:rPr>
        <w:outlineLvl w:val="1"/>
      </w:pPr>
      <w:r>
        <w:rPr>
          <w:rFonts w:ascii="Times New Roman" w:hAnsi="Times New Roman" w:cs="Times New Roman" w:eastAsia="Times New Roman"/>
          <w:bCs/>
          <w:color w:val="FF000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Срок поставки с момента подписания договора по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31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08</w:t>
      </w:r>
      <w:bookmarkStart w:id="1" w:name="_GoBack"/>
      <w:r/>
      <w:bookmarkEnd w:id="1"/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.202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6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г.</w:t>
      </w:r>
      <w:r/>
    </w:p>
    <w:p>
      <w:pPr>
        <w:pStyle w:val="824"/>
        <w:numPr>
          <w:ilvl w:val="0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/>
          <w:bCs/>
          <w:u w:val="single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Требования к товару.</w:t>
      </w:r>
      <w:bookmarkEnd w:id="0"/>
      <w:r/>
      <w:r/>
    </w:p>
    <w:p>
      <w:pPr>
        <w:pStyle w:val="824"/>
        <w:numPr>
          <w:ilvl w:val="1"/>
          <w:numId w:val="6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Продукция должна соответствовать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ТУ заводов изготовителей и иметь сертификаты и гарантию качества. Продукция должна соответствовать заяв</w:t>
      </w:r>
      <w:r>
        <w:rPr>
          <w:rFonts w:ascii="Times New Roman" w:hAnsi="Times New Roman" w:cs="Times New Roman" w:eastAsia="Times New Roman"/>
          <w:lang w:eastAsia="ru-RU"/>
        </w:rPr>
        <w:t xml:space="preserve">ленным характеристикам. Аналог</w:t>
      </w:r>
      <w:r>
        <w:rPr>
          <w:rFonts w:ascii="Times New Roman" w:hAnsi="Times New Roman" w:cs="Times New Roman" w:eastAsia="Times New Roman"/>
          <w:lang w:eastAsia="ru-RU"/>
        </w:rPr>
        <w:t xml:space="preserve"> не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допускается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4"/>
        <w:numPr>
          <w:ilvl w:val="1"/>
          <w:numId w:val="6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Аттестация ПАО «Россети» на продукцию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не </w:t>
      </w:r>
      <w:r>
        <w:rPr>
          <w:rFonts w:ascii="Times New Roman" w:hAnsi="Times New Roman" w:cs="Times New Roman" w:eastAsia="Times New Roman"/>
          <w:lang w:eastAsia="ru-RU"/>
        </w:rPr>
        <w:t xml:space="preserve">требуется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4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Адрес поставки товаров.</w:t>
      </w:r>
      <w:r/>
    </w:p>
    <w:p>
      <w:pPr>
        <w:pStyle w:val="824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Адрес поставки указан в таблице №1</w:t>
      </w:r>
      <w:r/>
    </w:p>
    <w:p>
      <w:pPr>
        <w:pStyle w:val="824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Требования по передаче покупателю технических и иных документов при поставке товаров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4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При сдаче-приемке товаров Покупателю Поставщик обязан предоставить следующие документы, оформленные надлежащим образом: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товарная накладная по форме ТОРГ-12;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оригинал</w:t>
      </w:r>
      <w:r>
        <w:rPr>
          <w:rFonts w:ascii="Times New Roman" w:hAnsi="Times New Roman" w:cs="Times New Roman" w:eastAsia="Times New Roman"/>
          <w:lang w:eastAsia="ru-RU"/>
        </w:rPr>
        <w:t xml:space="preserve"> счет-фактуры;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товарно-транспортная накладная по форме 1-Т;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документы, подтверждающие качество товара (сертификаты)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5. Порядок сдачи и приемки товаров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5.</w:t>
      </w:r>
      <w:r>
        <w:rPr>
          <w:rFonts w:ascii="Times New Roman" w:hAnsi="Times New Roman" w:cs="Times New Roman" w:eastAsia="Times New Roman"/>
          <w:lang w:eastAsia="ru-RU"/>
        </w:rPr>
        <w:t xml:space="preserve">1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lang w:eastAsia="ru-RU"/>
        </w:rPr>
        <w:t xml:space="preserve"> Одновременно с передачей товаров Поставщик передает Покупателю документы, оформленные надлежащим образом, указанные в п. 4.1 настоящего Технического задания.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5.2. Поставка товара должна быть выполнена в течении двух часов с момента запроса поставки, в связи с высокой срочностью ремонтных работ.</w:t>
      </w:r>
      <w:r/>
    </w:p>
    <w:p>
      <w:pPr>
        <w:jc w:val="both"/>
        <w:keepLines/>
        <w:keepNext/>
        <w:spacing w:lineRule="exact" w:line="270" w:after="0"/>
        <w:rPr>
          <w:rFonts w:ascii="Times New Roman" w:hAnsi="Times New Roman" w:cs="Times New Roman" w:eastAsia="Times New Roman"/>
          <w:b/>
          <w:bCs/>
          <w:u w:val="single"/>
          <w:lang w:eastAsia="ru-RU"/>
        </w:rPr>
        <w:outlineLvl w:val="1"/>
      </w:pPr>
      <w:r/>
      <w:bookmarkStart w:id="2" w:name="bookmark3"/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6. </w:t>
      </w: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Условия оплаты</w:t>
      </w:r>
      <w:bookmarkEnd w:id="2"/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.</w:t>
      </w:r>
      <w:r/>
    </w:p>
    <w:p>
      <w:pPr>
        <w:jc w:val="both"/>
        <w:spacing w:lineRule="exact" w:line="274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6.1.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Безналичный расчёт, оплата за фактически поставленный</w:t>
      </w:r>
      <w:r>
        <w:rPr>
          <w:rFonts w:ascii="Times New Roman" w:hAnsi="Times New Roman" w:cs="Times New Roman" w:eastAsia="Times New Roman"/>
          <w:lang w:eastAsia="ru-RU"/>
        </w:rPr>
        <w:t xml:space="preserve"> объем производится в течение 7</w:t>
      </w:r>
      <w:r>
        <w:rPr>
          <w:rFonts w:ascii="Times New Roman" w:hAnsi="Times New Roman" w:cs="Times New Roman" w:eastAsia="Times New Roman"/>
          <w:lang w:eastAsia="ru-RU"/>
        </w:rPr>
        <w:t xml:space="preserve"> (семи</w:t>
      </w:r>
      <w:r>
        <w:rPr>
          <w:rFonts w:ascii="Times New Roman" w:hAnsi="Times New Roman" w:cs="Times New Roman" w:eastAsia="Times New Roman"/>
          <w:lang w:eastAsia="ru-RU"/>
        </w:rPr>
        <w:t xml:space="preserve">) рабочих дней </w:t>
      </w:r>
      <w:r>
        <w:rPr>
          <w:rFonts w:ascii="Times New Roman" w:hAnsi="Times New Roman" w:cs="Times New Roman" w:eastAsia="Times New Roman"/>
          <w:lang w:eastAsia="ru-RU"/>
        </w:rPr>
        <w:t xml:space="preserve">для МСП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с момента поставки и подписания сторонам</w:t>
      </w:r>
      <w:r>
        <w:rPr>
          <w:rFonts w:ascii="Times New Roman" w:hAnsi="Times New Roman" w:cs="Times New Roman" w:eastAsia="Times New Roman"/>
          <w:lang w:eastAsia="ru-RU"/>
        </w:rPr>
        <w:t xml:space="preserve">и Товарной накладной (Торг 12) или УПД.</w:t>
      </w:r>
      <w:r/>
    </w:p>
    <w:p>
      <w:pPr>
        <w:ind w:right="2280"/>
        <w:jc w:val="both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7. Требования к участникам размещения заказа, осуществляющим поставку товара.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7.1. </w:t>
      </w:r>
      <w:r>
        <w:rPr>
          <w:rFonts w:ascii="Times New Roman" w:hAnsi="Times New Roman" w:cs="Times New Roman" w:eastAsia="Times New Roman"/>
          <w:lang w:eastAsia="ru-RU"/>
        </w:rPr>
        <w:t xml:space="preserve">Гарантийные обязательства на товар несет Поставщик;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7.2. Стоимость доставки должна быть включена в стоимость товара.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Начальник </w:t>
      </w:r>
      <w:r>
        <w:rPr>
          <w:rFonts w:ascii="Times New Roman" w:hAnsi="Times New Roman" w:cs="Times New Roman" w:eastAsia="Times New Roman"/>
          <w:lang w:eastAsia="ru-RU"/>
        </w:rPr>
        <w:t xml:space="preserve">ОИТ</w:t>
      </w:r>
      <w:r>
        <w:rPr>
          <w:rFonts w:ascii="Times New Roman" w:hAnsi="Times New Roman" w:cs="Times New Roman" w:eastAsia="Times New Roman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Д.В. Дыкин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i/>
          <w:lang w:eastAsia="ru-RU"/>
        </w:rPr>
      </w:pPr>
      <w:r>
        <w:rPr>
          <w:rFonts w:ascii="Times New Roman" w:hAnsi="Times New Roman" w:cs="Times New Roman" w:eastAsia="Times New Roman"/>
          <w:i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sectPr>
      <w:footnotePr/>
      <w:endnotePr/>
      <w:type w:val="nextPage"/>
      <w:pgSz w:w="11909" w:h="16834" w:orient="portrait"/>
      <w:pgMar w:top="1440" w:right="1440" w:bottom="1440" w:left="1440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Roboto">
    <w:panose1 w:val="02000000000000000000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•"/>
      <w:lvlJc w:val="left"/>
      <w:pPr/>
      <w:rPr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2."/>
      <w:lvlJc w:val="left"/>
      <w:pPr/>
      <w:rPr>
        <w:rFonts w:ascii="Times New Roman" w:hAnsi="Times New Roman" w:cs="Times New Roman" w:eastAsia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3."/>
      <w:lvlJc w:val="left"/>
      <w:pPr/>
    </w:lvl>
    <w:lvl w:ilvl="3">
      <w:start w:val="1"/>
      <w:numFmt w:val="decimal"/>
      <w:isLgl w:val="false"/>
      <w:suff w:val="tab"/>
      <w:lvlText w:val="%3."/>
      <w:lvlJc w:val="left"/>
      <w:pPr/>
    </w:lvl>
    <w:lvl w:ilvl="4">
      <w:start w:val="1"/>
      <w:numFmt w:val="decimal"/>
      <w:isLgl w:val="false"/>
      <w:suff w:val="tab"/>
      <w:lvlText w:val="%3."/>
      <w:lvlJc w:val="left"/>
      <w:pPr/>
    </w:lvl>
    <w:lvl w:ilvl="5">
      <w:start w:val="1"/>
      <w:numFmt w:val="decimal"/>
      <w:isLgl w:val="false"/>
      <w:suff w:val="tab"/>
      <w:lvlText w:val="%3."/>
      <w:lvlJc w:val="left"/>
      <w:pPr/>
    </w:lvl>
    <w:lvl w:ilvl="6">
      <w:start w:val="1"/>
      <w:numFmt w:val="decimal"/>
      <w:isLgl w:val="false"/>
      <w:suff w:val="tab"/>
      <w:lvlText w:val="%3."/>
      <w:lvlJc w:val="left"/>
      <w:pPr/>
    </w:lvl>
    <w:lvl w:ilvl="7">
      <w:start w:val="1"/>
      <w:numFmt w:val="decimal"/>
      <w:isLgl w:val="false"/>
      <w:suff w:val="tab"/>
      <w:lvlText w:val="%3."/>
      <w:lvlJc w:val="left"/>
      <w:pPr/>
    </w:lvl>
    <w:lvl w:ilvl="8">
      <w:start w:val="1"/>
      <w:numFmt w:val="decimal"/>
      <w:isLgl w:val="false"/>
      <w:suff w:val="tab"/>
      <w:lvlText w:val="%3.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30" w:hanging="8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  <w:b/>
        <w:u w:val="single"/>
      </w:rPr>
    </w:lvl>
    <w:lvl w:ilvl="1">
      <w:start w:val="1"/>
      <w:numFmt w:val="decimal"/>
      <w:isLgl/>
      <w:suff w:val="tab"/>
      <w:lvlText w:val="%1.%2."/>
      <w:lvlJc w:val="left"/>
      <w:pPr>
        <w:ind w:left="420" w:hanging="360"/>
      </w:pPr>
      <w:rPr>
        <w:rFonts w:hint="default"/>
        <w:b w:val="false"/>
        <w:color w:val="000000" w:themeColor="text1"/>
      </w:rPr>
    </w:lvl>
    <w:lvl w:ilvl="2">
      <w:start w:val="1"/>
      <w:numFmt w:val="decimal"/>
      <w:isLgl/>
      <w:suff w:val="tab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10" w:hanging="57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6">
    <w:name w:val="Heading 1"/>
    <w:basedOn w:val="820"/>
    <w:next w:val="820"/>
    <w:link w:val="647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7">
    <w:name w:val="Heading 1 Char"/>
    <w:basedOn w:val="821"/>
    <w:link w:val="646"/>
    <w:uiPriority w:val="9"/>
    <w:rPr>
      <w:rFonts w:ascii="Arial" w:hAnsi="Arial" w:cs="Arial" w:eastAsia="Arial"/>
      <w:sz w:val="40"/>
      <w:szCs w:val="40"/>
    </w:rPr>
  </w:style>
  <w:style w:type="paragraph" w:styleId="648">
    <w:name w:val="Heading 2"/>
    <w:basedOn w:val="820"/>
    <w:next w:val="820"/>
    <w:link w:val="649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49">
    <w:name w:val="Heading 2 Char"/>
    <w:basedOn w:val="821"/>
    <w:link w:val="648"/>
    <w:uiPriority w:val="9"/>
    <w:rPr>
      <w:rFonts w:ascii="Arial" w:hAnsi="Arial" w:cs="Arial" w:eastAsia="Arial"/>
      <w:sz w:val="34"/>
    </w:rPr>
  </w:style>
  <w:style w:type="paragraph" w:styleId="650">
    <w:name w:val="Heading 3"/>
    <w:basedOn w:val="820"/>
    <w:next w:val="820"/>
    <w:link w:val="651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1">
    <w:name w:val="Heading 3 Char"/>
    <w:basedOn w:val="821"/>
    <w:link w:val="650"/>
    <w:uiPriority w:val="9"/>
    <w:rPr>
      <w:rFonts w:ascii="Arial" w:hAnsi="Arial" w:cs="Arial" w:eastAsia="Arial"/>
      <w:sz w:val="30"/>
      <w:szCs w:val="30"/>
    </w:rPr>
  </w:style>
  <w:style w:type="paragraph" w:styleId="652">
    <w:name w:val="Heading 4"/>
    <w:basedOn w:val="820"/>
    <w:next w:val="820"/>
    <w:link w:val="653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3">
    <w:name w:val="Heading 4 Char"/>
    <w:basedOn w:val="821"/>
    <w:link w:val="652"/>
    <w:uiPriority w:val="9"/>
    <w:rPr>
      <w:rFonts w:ascii="Arial" w:hAnsi="Arial" w:cs="Arial" w:eastAsia="Arial"/>
      <w:b/>
      <w:bCs/>
      <w:sz w:val="26"/>
      <w:szCs w:val="26"/>
    </w:rPr>
  </w:style>
  <w:style w:type="paragraph" w:styleId="654">
    <w:name w:val="Heading 5"/>
    <w:basedOn w:val="820"/>
    <w:next w:val="820"/>
    <w:link w:val="65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5">
    <w:name w:val="Heading 5 Char"/>
    <w:basedOn w:val="821"/>
    <w:link w:val="654"/>
    <w:uiPriority w:val="9"/>
    <w:rPr>
      <w:rFonts w:ascii="Arial" w:hAnsi="Arial" w:cs="Arial" w:eastAsia="Arial"/>
      <w:b/>
      <w:bCs/>
      <w:sz w:val="24"/>
      <w:szCs w:val="24"/>
    </w:rPr>
  </w:style>
  <w:style w:type="paragraph" w:styleId="656">
    <w:name w:val="Heading 6"/>
    <w:basedOn w:val="820"/>
    <w:next w:val="820"/>
    <w:link w:val="65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7">
    <w:name w:val="Heading 6 Char"/>
    <w:basedOn w:val="821"/>
    <w:link w:val="656"/>
    <w:uiPriority w:val="9"/>
    <w:rPr>
      <w:rFonts w:ascii="Arial" w:hAnsi="Arial" w:cs="Arial" w:eastAsia="Arial"/>
      <w:b/>
      <w:bCs/>
      <w:sz w:val="22"/>
      <w:szCs w:val="22"/>
    </w:rPr>
  </w:style>
  <w:style w:type="paragraph" w:styleId="658">
    <w:name w:val="Heading 7"/>
    <w:basedOn w:val="820"/>
    <w:next w:val="820"/>
    <w:link w:val="65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59">
    <w:name w:val="Heading 7 Char"/>
    <w:basedOn w:val="821"/>
    <w:link w:val="65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0">
    <w:name w:val="Heading 8"/>
    <w:basedOn w:val="820"/>
    <w:next w:val="820"/>
    <w:link w:val="66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1">
    <w:name w:val="Heading 8 Char"/>
    <w:basedOn w:val="821"/>
    <w:link w:val="660"/>
    <w:uiPriority w:val="9"/>
    <w:rPr>
      <w:rFonts w:ascii="Arial" w:hAnsi="Arial" w:cs="Arial" w:eastAsia="Arial"/>
      <w:i/>
      <w:iCs/>
      <w:sz w:val="22"/>
      <w:szCs w:val="22"/>
    </w:rPr>
  </w:style>
  <w:style w:type="paragraph" w:styleId="662">
    <w:name w:val="Heading 9"/>
    <w:basedOn w:val="820"/>
    <w:next w:val="820"/>
    <w:link w:val="66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3">
    <w:name w:val="Heading 9 Char"/>
    <w:basedOn w:val="821"/>
    <w:link w:val="662"/>
    <w:uiPriority w:val="9"/>
    <w:rPr>
      <w:rFonts w:ascii="Arial" w:hAnsi="Arial" w:cs="Arial" w:eastAsia="Arial"/>
      <w:i/>
      <w:iCs/>
      <w:sz w:val="21"/>
      <w:szCs w:val="21"/>
    </w:rPr>
  </w:style>
  <w:style w:type="paragraph" w:styleId="664">
    <w:name w:val="No Spacing"/>
    <w:qFormat/>
    <w:uiPriority w:val="1"/>
    <w:pPr>
      <w:spacing w:lineRule="auto" w:line="240" w:after="0" w:before="0"/>
    </w:pPr>
  </w:style>
  <w:style w:type="paragraph" w:styleId="665">
    <w:name w:val="Title"/>
    <w:basedOn w:val="820"/>
    <w:next w:val="820"/>
    <w:link w:val="66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6">
    <w:name w:val="Title Char"/>
    <w:basedOn w:val="821"/>
    <w:link w:val="665"/>
    <w:uiPriority w:val="10"/>
    <w:rPr>
      <w:sz w:val="48"/>
      <w:szCs w:val="48"/>
    </w:rPr>
  </w:style>
  <w:style w:type="paragraph" w:styleId="667">
    <w:name w:val="Subtitle"/>
    <w:basedOn w:val="820"/>
    <w:next w:val="820"/>
    <w:link w:val="668"/>
    <w:qFormat/>
    <w:uiPriority w:val="11"/>
    <w:rPr>
      <w:sz w:val="24"/>
      <w:szCs w:val="24"/>
    </w:rPr>
    <w:pPr>
      <w:spacing w:after="200" w:before="200"/>
    </w:pPr>
  </w:style>
  <w:style w:type="character" w:styleId="668">
    <w:name w:val="Subtitle Char"/>
    <w:basedOn w:val="821"/>
    <w:link w:val="667"/>
    <w:uiPriority w:val="11"/>
    <w:rPr>
      <w:sz w:val="24"/>
      <w:szCs w:val="24"/>
    </w:rPr>
  </w:style>
  <w:style w:type="paragraph" w:styleId="669">
    <w:name w:val="Quote"/>
    <w:basedOn w:val="820"/>
    <w:next w:val="820"/>
    <w:link w:val="670"/>
    <w:qFormat/>
    <w:uiPriority w:val="29"/>
    <w:rPr>
      <w:i/>
    </w:rPr>
    <w:pPr>
      <w:ind w:left="720" w:right="720"/>
    </w:pPr>
  </w:style>
  <w:style w:type="character" w:styleId="670">
    <w:name w:val="Quote Char"/>
    <w:link w:val="669"/>
    <w:uiPriority w:val="29"/>
    <w:rPr>
      <w:i/>
    </w:rPr>
  </w:style>
  <w:style w:type="paragraph" w:styleId="671">
    <w:name w:val="Intense Quote"/>
    <w:basedOn w:val="820"/>
    <w:next w:val="820"/>
    <w:link w:val="672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2">
    <w:name w:val="Intense Quote Char"/>
    <w:link w:val="671"/>
    <w:uiPriority w:val="30"/>
    <w:rPr>
      <w:i/>
    </w:rPr>
  </w:style>
  <w:style w:type="character" w:styleId="673">
    <w:name w:val="Header Char"/>
    <w:basedOn w:val="821"/>
    <w:link w:val="827"/>
    <w:uiPriority w:val="99"/>
  </w:style>
  <w:style w:type="character" w:styleId="674">
    <w:name w:val="Footer Char"/>
    <w:basedOn w:val="821"/>
    <w:link w:val="829"/>
    <w:uiPriority w:val="99"/>
  </w:style>
  <w:style w:type="paragraph" w:styleId="675">
    <w:name w:val="Caption"/>
    <w:basedOn w:val="820"/>
    <w:next w:val="82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6">
    <w:name w:val="Caption Char"/>
    <w:basedOn w:val="675"/>
    <w:link w:val="829"/>
    <w:uiPriority w:val="99"/>
  </w:style>
  <w:style w:type="table" w:styleId="677">
    <w:name w:val="Table Grid Light"/>
    <w:basedOn w:val="8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8">
    <w:name w:val="Plain Table 1"/>
    <w:basedOn w:val="8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9">
    <w:name w:val="Plain Table 2"/>
    <w:basedOn w:val="82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0">
    <w:name w:val="Plain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1">
    <w:name w:val="Plain Table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Plain Table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3">
    <w:name w:val="Grid Table 1 Light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1">
    <w:name w:val="Grid Table 2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2">
    <w:name w:val="Grid Table 2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3">
    <w:name w:val="Grid Table 2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2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3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3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3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4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5">
    <w:name w:val="Grid Table 4 - Accent 1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06">
    <w:name w:val="Grid Table 4 - Accent 2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07">
    <w:name w:val="Grid Table 4 - Accent 3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08">
    <w:name w:val="Grid Table 4 - Accent 4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09">
    <w:name w:val="Grid Table 4 - Accent 5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0">
    <w:name w:val="Grid Table 4 - Accent 6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1">
    <w:name w:val="Grid Table 5 Dark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2">
    <w:name w:val="Grid Table 5 Dark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3">
    <w:name w:val="Grid Table 5 Dark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4">
    <w:name w:val="Grid Table 5 Dark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15">
    <w:name w:val="Grid Table 5 Dark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16">
    <w:name w:val="Grid Table 5 Dark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18">
    <w:name w:val="Grid Table 6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9">
    <w:name w:val="Grid Table 6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0">
    <w:name w:val="Grid Table 6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1">
    <w:name w:val="Grid Table 6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2">
    <w:name w:val="Grid Table 6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3">
    <w:name w:val="Grid Table 6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4">
    <w:name w:val="Grid Table 6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5">
    <w:name w:val="Grid Table 7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7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7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7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7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List Table 1 Light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List Table 1 Light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List Table 1 Light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List Table 1 Light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0">
    <w:name w:val="List Table 2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1">
    <w:name w:val="List Table 2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2">
    <w:name w:val="List Table 2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3">
    <w:name w:val="List Table 2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4">
    <w:name w:val="List Table 2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5">
    <w:name w:val="List Table 2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46">
    <w:name w:val="List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5 Dark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5 Dark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6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68">
    <w:name w:val="List Table 6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69">
    <w:name w:val="List Table 6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0">
    <w:name w:val="List Table 6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1">
    <w:name w:val="List Table 6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2">
    <w:name w:val="List Table 6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3">
    <w:name w:val="List Table 6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4">
    <w:name w:val="List Table 7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5">
    <w:name w:val="List Table 7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6">
    <w:name w:val="List Table 7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7">
    <w:name w:val="List Table 7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8">
    <w:name w:val="List Table 7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9">
    <w:name w:val="List Table 7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0">
    <w:name w:val="List Table 7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1">
    <w:name w:val="Lined - Accent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2">
    <w:name w:val="Lined - Accent 1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3">
    <w:name w:val="Lined - Accent 2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4">
    <w:name w:val="Lined - Accent 3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5">
    <w:name w:val="Lined - Accent 4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86">
    <w:name w:val="Lined - Accent 5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87">
    <w:name w:val="Lined - Accent 6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88">
    <w:name w:val="Bordered &amp; Lined - Accent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9">
    <w:name w:val="Bordered &amp; Lined - Accent 1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0">
    <w:name w:val="Bordered &amp; Lined - Accent 2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1">
    <w:name w:val="Bordered &amp; Lined - Accent 3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2">
    <w:name w:val="Bordered &amp; Lined - Accent 4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3">
    <w:name w:val="Bordered &amp; Lined - Accent 5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4">
    <w:name w:val="Bordered &amp; Lined - Accent 6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5">
    <w:name w:val="Bordered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796">
    <w:name w:val="Bordered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797">
    <w:name w:val="Bordered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798">
    <w:name w:val="Bordered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799">
    <w:name w:val="Bordered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0">
    <w:name w:val="Bordered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1">
    <w:name w:val="Bordered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2">
    <w:name w:val="Hyperlink"/>
    <w:uiPriority w:val="99"/>
    <w:unhideWhenUsed/>
    <w:rPr>
      <w:color w:val="0000FF" w:themeColor="hyperlink"/>
      <w:u w:val="single"/>
    </w:rPr>
  </w:style>
  <w:style w:type="paragraph" w:styleId="803">
    <w:name w:val="footnote text"/>
    <w:basedOn w:val="820"/>
    <w:link w:val="804"/>
    <w:uiPriority w:val="99"/>
    <w:semiHidden/>
    <w:unhideWhenUsed/>
    <w:rPr>
      <w:sz w:val="18"/>
    </w:rPr>
    <w:pPr>
      <w:spacing w:lineRule="auto" w:line="240" w:after="40"/>
    </w:pPr>
  </w:style>
  <w:style w:type="character" w:styleId="804">
    <w:name w:val="Footnote Text Char"/>
    <w:link w:val="803"/>
    <w:uiPriority w:val="99"/>
    <w:rPr>
      <w:sz w:val="18"/>
    </w:rPr>
  </w:style>
  <w:style w:type="character" w:styleId="805">
    <w:name w:val="footnote reference"/>
    <w:basedOn w:val="821"/>
    <w:uiPriority w:val="99"/>
    <w:unhideWhenUsed/>
    <w:rPr>
      <w:vertAlign w:val="superscript"/>
    </w:rPr>
  </w:style>
  <w:style w:type="paragraph" w:styleId="806">
    <w:name w:val="endnote text"/>
    <w:basedOn w:val="820"/>
    <w:link w:val="807"/>
    <w:uiPriority w:val="99"/>
    <w:semiHidden/>
    <w:unhideWhenUsed/>
    <w:rPr>
      <w:sz w:val="20"/>
    </w:rPr>
    <w:pPr>
      <w:spacing w:lineRule="auto" w:line="240" w:after="0"/>
    </w:pPr>
  </w:style>
  <w:style w:type="character" w:styleId="807">
    <w:name w:val="Endnote Text Char"/>
    <w:link w:val="806"/>
    <w:uiPriority w:val="99"/>
    <w:rPr>
      <w:sz w:val="20"/>
    </w:rPr>
  </w:style>
  <w:style w:type="character" w:styleId="808">
    <w:name w:val="endnote reference"/>
    <w:basedOn w:val="821"/>
    <w:uiPriority w:val="99"/>
    <w:semiHidden/>
    <w:unhideWhenUsed/>
    <w:rPr>
      <w:vertAlign w:val="superscript"/>
    </w:rPr>
  </w:style>
  <w:style w:type="paragraph" w:styleId="809">
    <w:name w:val="toc 1"/>
    <w:basedOn w:val="820"/>
    <w:next w:val="820"/>
    <w:uiPriority w:val="39"/>
    <w:unhideWhenUsed/>
    <w:pPr>
      <w:ind w:left="0" w:right="0" w:firstLine="0"/>
      <w:spacing w:after="57"/>
    </w:pPr>
  </w:style>
  <w:style w:type="paragraph" w:styleId="810">
    <w:name w:val="toc 2"/>
    <w:basedOn w:val="820"/>
    <w:next w:val="820"/>
    <w:uiPriority w:val="39"/>
    <w:unhideWhenUsed/>
    <w:pPr>
      <w:ind w:left="283" w:right="0" w:firstLine="0"/>
      <w:spacing w:after="57"/>
    </w:pPr>
  </w:style>
  <w:style w:type="paragraph" w:styleId="811">
    <w:name w:val="toc 3"/>
    <w:basedOn w:val="820"/>
    <w:next w:val="820"/>
    <w:uiPriority w:val="39"/>
    <w:unhideWhenUsed/>
    <w:pPr>
      <w:ind w:left="567" w:right="0" w:firstLine="0"/>
      <w:spacing w:after="57"/>
    </w:pPr>
  </w:style>
  <w:style w:type="paragraph" w:styleId="812">
    <w:name w:val="toc 4"/>
    <w:basedOn w:val="820"/>
    <w:next w:val="820"/>
    <w:uiPriority w:val="39"/>
    <w:unhideWhenUsed/>
    <w:pPr>
      <w:ind w:left="850" w:right="0" w:firstLine="0"/>
      <w:spacing w:after="57"/>
    </w:pPr>
  </w:style>
  <w:style w:type="paragraph" w:styleId="813">
    <w:name w:val="toc 5"/>
    <w:basedOn w:val="820"/>
    <w:next w:val="820"/>
    <w:uiPriority w:val="39"/>
    <w:unhideWhenUsed/>
    <w:pPr>
      <w:ind w:left="1134" w:right="0" w:firstLine="0"/>
      <w:spacing w:after="57"/>
    </w:pPr>
  </w:style>
  <w:style w:type="paragraph" w:styleId="814">
    <w:name w:val="toc 6"/>
    <w:basedOn w:val="820"/>
    <w:next w:val="820"/>
    <w:uiPriority w:val="39"/>
    <w:unhideWhenUsed/>
    <w:pPr>
      <w:ind w:left="1417" w:right="0" w:firstLine="0"/>
      <w:spacing w:after="57"/>
    </w:pPr>
  </w:style>
  <w:style w:type="paragraph" w:styleId="815">
    <w:name w:val="toc 7"/>
    <w:basedOn w:val="820"/>
    <w:next w:val="820"/>
    <w:uiPriority w:val="39"/>
    <w:unhideWhenUsed/>
    <w:pPr>
      <w:ind w:left="1701" w:right="0" w:firstLine="0"/>
      <w:spacing w:after="57"/>
    </w:pPr>
  </w:style>
  <w:style w:type="paragraph" w:styleId="816">
    <w:name w:val="toc 8"/>
    <w:basedOn w:val="820"/>
    <w:next w:val="820"/>
    <w:uiPriority w:val="39"/>
    <w:unhideWhenUsed/>
    <w:pPr>
      <w:ind w:left="1984" w:right="0" w:firstLine="0"/>
      <w:spacing w:after="57"/>
    </w:pPr>
  </w:style>
  <w:style w:type="paragraph" w:styleId="817">
    <w:name w:val="toc 9"/>
    <w:basedOn w:val="820"/>
    <w:next w:val="820"/>
    <w:uiPriority w:val="39"/>
    <w:unhideWhenUsed/>
    <w:pPr>
      <w:ind w:left="2268" w:right="0" w:firstLine="0"/>
      <w:spacing w:after="57"/>
    </w:pPr>
  </w:style>
  <w:style w:type="paragraph" w:styleId="818">
    <w:name w:val="TOC Heading"/>
    <w:uiPriority w:val="39"/>
    <w:unhideWhenUsed/>
  </w:style>
  <w:style w:type="paragraph" w:styleId="819">
    <w:name w:val="table of figures"/>
    <w:basedOn w:val="820"/>
    <w:next w:val="820"/>
    <w:uiPriority w:val="99"/>
    <w:unhideWhenUsed/>
    <w:pPr>
      <w:spacing w:after="0" w:afterAutospacing="0"/>
    </w:pPr>
  </w:style>
  <w:style w:type="paragraph" w:styleId="820" w:default="1">
    <w:name w:val="Normal"/>
    <w:qFormat/>
  </w:style>
  <w:style w:type="character" w:styleId="821" w:default="1">
    <w:name w:val="Default Paragraph Font"/>
    <w:uiPriority w:val="1"/>
    <w:semiHidden/>
    <w:unhideWhenUsed/>
  </w:style>
  <w:style w:type="table" w:styleId="8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3" w:default="1">
    <w:name w:val="No List"/>
    <w:uiPriority w:val="99"/>
    <w:semiHidden/>
    <w:unhideWhenUsed/>
  </w:style>
  <w:style w:type="paragraph" w:styleId="824">
    <w:name w:val="List Paragraph"/>
    <w:basedOn w:val="820"/>
    <w:qFormat/>
    <w:uiPriority w:val="34"/>
    <w:pPr>
      <w:contextualSpacing w:val="true"/>
      <w:ind w:left="720"/>
    </w:pPr>
  </w:style>
  <w:style w:type="paragraph" w:styleId="825">
    <w:name w:val="Balloon Text"/>
    <w:basedOn w:val="820"/>
    <w:link w:val="826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26" w:customStyle="1">
    <w:name w:val="Текст выноски Знак"/>
    <w:basedOn w:val="821"/>
    <w:link w:val="825"/>
    <w:uiPriority w:val="99"/>
    <w:semiHidden/>
    <w:rPr>
      <w:rFonts w:ascii="Segoe UI" w:hAnsi="Segoe UI" w:cs="Segoe UI"/>
      <w:sz w:val="18"/>
      <w:szCs w:val="18"/>
    </w:rPr>
  </w:style>
  <w:style w:type="paragraph" w:styleId="827">
    <w:name w:val="Header"/>
    <w:basedOn w:val="820"/>
    <w:link w:val="828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28" w:customStyle="1">
    <w:name w:val="Верхний колонтитул Знак"/>
    <w:basedOn w:val="821"/>
    <w:link w:val="827"/>
    <w:uiPriority w:val="99"/>
  </w:style>
  <w:style w:type="paragraph" w:styleId="829">
    <w:name w:val="Footer"/>
    <w:basedOn w:val="820"/>
    <w:link w:val="830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0" w:customStyle="1">
    <w:name w:val="Нижний колонтитул Знак"/>
    <w:basedOn w:val="821"/>
    <w:link w:val="829"/>
    <w:uiPriority w:val="99"/>
  </w:style>
  <w:style w:type="table" w:styleId="831">
    <w:name w:val="Table Grid"/>
    <w:basedOn w:val="822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832" w:customStyle="1">
    <w:name w:val="Основной текст (2)"/>
    <w:basedOn w:val="821"/>
    <w:rPr>
      <w:rFonts w:ascii="Arial" w:hAnsi="Arial" w:cs="Arial" w:eastAsia="Arial" w:hint="default"/>
      <w:b w:val="false"/>
      <w:bCs w:val="false"/>
      <w:i w:val="false"/>
      <w:iCs w:val="false"/>
      <w:smallCaps w:val="false"/>
      <w:strike w:val="false"/>
      <w:color w:val="000000"/>
      <w:spacing w:val="0"/>
      <w:position w:val="0"/>
      <w:sz w:val="20"/>
      <w:szCs w:val="20"/>
      <w:u w:val="none"/>
      <w:lang w:val="ru-RU" w:bidi="ru-RU" w:eastAsia="ru-RU"/>
    </w:rPr>
  </w:style>
  <w:style w:type="paragraph" w:styleId="833" w:customStyle="1">
    <w:name w:val="Default"/>
    <w:rPr>
      <w:rFonts w:ascii="Roboto" w:hAnsi="Roboto" w:cs="Roboto" w:eastAsia="Calibri"/>
      <w:color w:val="000000"/>
      <w:sz w:val="24"/>
      <w:szCs w:val="24"/>
      <w:lang w:eastAsia="ru-RU"/>
    </w:rPr>
    <w:pPr>
      <w:spacing w:lineRule="auto" w:line="240"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revision>8</cp:revision>
  <dcterms:created xsi:type="dcterms:W3CDTF">2025-02-10T07:37:00Z</dcterms:created>
  <dcterms:modified xsi:type="dcterms:W3CDTF">2026-06-24T10:47:30Z</dcterms:modified>
</cp:coreProperties>
</file>