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ТЕХНИЧЕСКОЕ ЗАДАНИЕ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на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поставку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spacing w:val="-2"/>
          <w:sz w:val="24"/>
          <w:szCs w:val="24"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(ЗНТ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082-0037436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)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 для нужд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филиала ПАО «Россети Московский регион» - Южные электрические сети</w:t>
      </w:r>
      <w:r>
        <w:rPr>
          <w:rFonts w:ascii="Times New Roman" w:hAnsi="Times New Roman" w:cs="Times New Roman" w:eastAsia="Times New Roman"/>
          <w:b/>
          <w:i/>
          <w:lang w:eastAsia="ru-RU"/>
        </w:rPr>
        <w:t xml:space="preserve">.</w:t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center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i/>
          <w:lang w:eastAsia="ru-RU"/>
        </w:rPr>
      </w:pPr>
      <w:r>
        <w:rPr>
          <w:rFonts w:ascii="Times New Roman" w:hAnsi="Times New Roman" w:cs="Times New Roman" w:eastAsia="Times New Roman"/>
          <w:b/>
          <w:i/>
          <w:lang w:eastAsia="ru-RU"/>
        </w:rPr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Организация: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Южные электрические сети - филиал ПАО «Россети Московский регион»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Адрес: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Московская область, г. Подольск, ул.Кирова, д-65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u w:val="single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Контактное лицо: 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Начальник ОИТ Дыкин Д.В</w:t>
      </w:r>
      <w:r>
        <w:rPr>
          <w:rFonts w:ascii="Times New Roman" w:hAnsi="Times New Roman" w:cs="Times New Roman" w:eastAsia="Times New Roman"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Начальная (максимальная) цена : 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499 344,78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руб. с НДС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</w:t>
      </w:r>
      <w:r>
        <w:rPr>
          <w:rFonts w:ascii="Times New Roman" w:hAnsi="Times New Roman" w:cs="Times New Roman" w:eastAsia="Times New Roman"/>
          <w:lang w:eastAsia="ru-RU"/>
        </w:rPr>
        <w:t xml:space="preserve">В том числе</w:t>
      </w:r>
      <w:r>
        <w:rPr>
          <w:rFonts w:ascii="Times New Roman" w:hAnsi="Times New Roman" w:cs="Times New Roman" w:eastAsia="Times New Roman"/>
          <w:lang w:eastAsia="ru-RU"/>
        </w:rPr>
        <w:t xml:space="preserve"> НДС 22%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Основные требования.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Обязательная поставка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указанных в таблице № 1.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Не допускается подача предложений на отдельные позиции или часть объема, указанного в перечне.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  <w:t xml:space="preserve">                                                                                                                                       Таблица № 1                                    </w:t>
      </w:r>
      <w:r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3684"/>
        <w:gridCol w:w="567"/>
        <w:gridCol w:w="1134"/>
        <w:gridCol w:w="3685"/>
      </w:tblGrid>
      <w:tr>
        <w:trPr>
          <w:trHeight w:val="1022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both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№ п/п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Наименование продукции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Единица измерени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я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exact" w:line="252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Количест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во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jc w:val="center"/>
              <w:spacing w:lineRule="exact" w:line="248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Адрес поставки товара</w:t>
            </w:r>
            <w:r/>
          </w:p>
        </w:tc>
      </w:tr>
      <w:tr>
        <w:trPr>
          <w:trHeight w:val="1041"/>
        </w:trPr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  <w:t xml:space="preserve">Накопитель твердотельный SSD M.2 2280 1000ГБ ТМИ ЦРМП.467512.002-02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t xml:space="preserve">ШТ</w:t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20</w:t>
            </w:r>
            <w:r/>
          </w:p>
          <w:p>
            <w:pPr>
              <w:jc w:val="center"/>
              <w:spacing w:lineRule="auto" w:line="240" w:after="0"/>
              <w:rPr>
                <w:rFonts w:ascii="Arial" w:hAnsi="Arial" w:cs="Arial" w:eastAsia="Times New Roman"/>
              </w:rPr>
            </w:pPr>
            <w:r>
              <w:rPr>
                <w:rFonts w:ascii="Arial" w:hAnsi="Arial" w:cs="Arial" w:eastAsia="Times New Roman"/>
                <w:sz w:val="20"/>
                <w:szCs w:val="20"/>
              </w:rPr>
            </w:r>
            <w:r>
              <w:rPr>
                <w:rFonts w:ascii="Arial" w:hAnsi="Arial" w:cs="Arial" w:eastAsia="Times New Roman"/>
                <w:sz w:val="20"/>
                <w:szCs w:val="20"/>
              </w:rPr>
            </w:r>
            <w:r/>
          </w:p>
        </w:tc>
        <w:tc>
          <w:tcPr>
            <w:shd w:val="clear" w:fill="FFFFFF" w:color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г. Подольск, Домодедовское шоссе,     д-43А</w:t>
            </w:r>
            <w:r/>
          </w:p>
        </w:tc>
      </w:tr>
    </w:tbl>
    <w:p>
      <w:pPr>
        <w:ind w:right="500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lang w:eastAsia="ru-RU"/>
        </w:rPr>
        <w:outlineLvl w:val="1"/>
      </w:pPr>
      <w:r/>
      <w:bookmarkStart w:id="0" w:name="bookmark0"/>
      <w:r/>
      <w:r/>
    </w:p>
    <w:p>
      <w:pPr>
        <w:pStyle w:val="824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lang w:eastAsia="ru-RU"/>
        </w:rPr>
        <w:t xml:space="preserve">Стоимость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коммутационных комплектующих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должна включать все налоги и обязательные платежи и доставку</w:t>
      </w:r>
      <w:r>
        <w:rPr>
          <w:rFonts w:ascii="Times New Roman" w:hAnsi="Times New Roman" w:cs="Times New Roman" w:eastAsia="Times New Roman"/>
          <w:bCs/>
          <w:lang w:eastAsia="ru-RU"/>
        </w:rPr>
        <w:t xml:space="preserve">.</w:t>
      </w:r>
      <w:r/>
    </w:p>
    <w:p>
      <w:pPr>
        <w:pStyle w:val="824"/>
        <w:numPr>
          <w:ilvl w:val="1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Cs/>
          <w:color w:val="FF0000"/>
          <w:lang w:eastAsia="ru-RU"/>
        </w:rPr>
        <w:outlineLvl w:val="1"/>
      </w:pPr>
      <w:r>
        <w:rPr>
          <w:rFonts w:ascii="Times New Roman" w:hAnsi="Times New Roman" w:cs="Times New Roman" w:eastAsia="Times New Roman"/>
          <w:bCs/>
          <w:color w:val="FF000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Срок поставки с момента подписания договора по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31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08</w:t>
      </w:r>
      <w:bookmarkStart w:id="1" w:name="_GoBack"/>
      <w:r/>
      <w:bookmarkEnd w:id="1"/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.202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6 </w:t>
      </w:r>
      <w:r>
        <w:rPr>
          <w:rFonts w:ascii="Times New Roman" w:hAnsi="Times New Roman" w:cs="Times New Roman" w:eastAsia="Times New Roman"/>
          <w:bCs/>
          <w:color w:val="000000" w:themeColor="text1"/>
          <w:lang w:eastAsia="ru-RU"/>
        </w:rPr>
        <w:t xml:space="preserve">г.</w:t>
      </w:r>
      <w:r/>
    </w:p>
    <w:p>
      <w:pPr>
        <w:pStyle w:val="824"/>
        <w:numPr>
          <w:ilvl w:val="0"/>
          <w:numId w:val="5"/>
        </w:numPr>
        <w:ind w:right="500"/>
        <w:jc w:val="both"/>
        <w:keepLines/>
        <w:keepNext/>
        <w:spacing w:lineRule="exact" w:line="274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Требования к товару.</w:t>
      </w:r>
      <w:bookmarkEnd w:id="0"/>
      <w:r/>
      <w:r/>
    </w:p>
    <w:p>
      <w:pPr>
        <w:pStyle w:val="824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Продукция должна соответствовать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ТУ заводов изготовителей и иметь сертификаты и гарантию качества. Продукция должна соответствовать заяв</w:t>
      </w:r>
      <w:r>
        <w:rPr>
          <w:rFonts w:ascii="Times New Roman" w:hAnsi="Times New Roman" w:cs="Times New Roman" w:eastAsia="Times New Roman"/>
          <w:lang w:eastAsia="ru-RU"/>
        </w:rPr>
        <w:t xml:space="preserve">ленным характеристикам. Аналог</w:t>
      </w:r>
      <w:r>
        <w:rPr>
          <w:rFonts w:ascii="Times New Roman" w:hAnsi="Times New Roman" w:cs="Times New Roman" w:eastAsia="Times New Roman"/>
          <w:lang w:eastAsia="ru-RU"/>
        </w:rPr>
        <w:t xml:space="preserve"> не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допускается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1"/>
          <w:numId w:val="6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Аттестация ПАО «Россети» на продукцию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не </w:t>
      </w:r>
      <w:r>
        <w:rPr>
          <w:rFonts w:ascii="Times New Roman" w:hAnsi="Times New Roman" w:cs="Times New Roman" w:eastAsia="Times New Roman"/>
          <w:lang w:eastAsia="ru-RU"/>
        </w:rPr>
        <w:t xml:space="preserve">требуется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b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Адрес поставки товаров.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Адрес поставки указан в таблице №1</w:t>
      </w:r>
      <w:r/>
    </w:p>
    <w:p>
      <w:pPr>
        <w:pStyle w:val="824"/>
        <w:numPr>
          <w:ilvl w:val="0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Требования по передаче покупателю технических и иных документов при поставке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pStyle w:val="824"/>
        <w:numPr>
          <w:ilvl w:val="1"/>
          <w:numId w:val="5"/>
        </w:num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При сдаче-приемке товаров Покупателю Поставщик обязан предоставить следующие документы, оформленные надлежащим образом: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товарная накладная по форме ТОРГ-12;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оригинал</w:t>
      </w:r>
      <w:r>
        <w:rPr>
          <w:rFonts w:ascii="Times New Roman" w:hAnsi="Times New Roman" w:cs="Times New Roman" w:eastAsia="Times New Roman"/>
          <w:lang w:eastAsia="ru-RU"/>
        </w:rPr>
        <w:t xml:space="preserve"> счет-фактуры;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товарно-транспортная накладная по форме 1-Т;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   -  документы, подтверждающие качество товара (сертификаты)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b/>
          <w:u w:val="single"/>
          <w:lang w:eastAsia="ru-RU"/>
        </w:rPr>
        <w:t xml:space="preserve">5. Порядок сдачи и приемки товаров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</w:t>
      </w:r>
      <w:r>
        <w:rPr>
          <w:rFonts w:ascii="Times New Roman" w:hAnsi="Times New Roman" w:cs="Times New Roman" w:eastAsia="Times New Roman"/>
          <w:lang w:eastAsia="ru-RU"/>
        </w:rPr>
        <w:t xml:space="preserve">1</w:t>
      </w:r>
      <w:r>
        <w:rPr>
          <w:rFonts w:ascii="Times New Roman" w:hAnsi="Times New Roman" w:cs="Times New Roman" w:eastAsia="Times New Roman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lang w:eastAsia="ru-RU"/>
        </w:rPr>
        <w:t xml:space="preserve"> Одновременно с передачей товаров Поставщик передает Покупателю документы, оформленные надлежащим образом, указанные в п. 4.1 настоящего Технического задания.</w:t>
      </w:r>
      <w:r/>
    </w:p>
    <w:p>
      <w:pPr>
        <w:ind w:left="60"/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5.2. Поставка товара должна быть выполнена в течении двух часов с момента запроса поставки, в связи с высокой срочностью ремонтных работ.</w:t>
      </w:r>
      <w:r/>
    </w:p>
    <w:p>
      <w:pPr>
        <w:jc w:val="both"/>
        <w:keepLines/>
        <w:keepNext/>
        <w:spacing w:lineRule="exact" w:line="270" w:after="0"/>
        <w:rPr>
          <w:rFonts w:ascii="Times New Roman" w:hAnsi="Times New Roman" w:cs="Times New Roman" w:eastAsia="Times New Roman"/>
          <w:b/>
          <w:bCs/>
          <w:u w:val="single"/>
          <w:lang w:eastAsia="ru-RU"/>
        </w:rPr>
        <w:outlineLvl w:val="1"/>
      </w:pPr>
      <w:r/>
      <w:bookmarkStart w:id="2" w:name="bookmark3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6. </w:t>
      </w: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Условия оплаты</w:t>
      </w:r>
      <w:bookmarkEnd w:id="2"/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.</w:t>
      </w:r>
      <w:r/>
    </w:p>
    <w:p>
      <w:pPr>
        <w:jc w:val="both"/>
        <w:spacing w:lineRule="exact" w:line="274" w:after="0"/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6.1.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Безналичный расчёт, оплата за фактически поставленный</w:t>
      </w:r>
      <w:r>
        <w:rPr>
          <w:rFonts w:ascii="Times New Roman" w:hAnsi="Times New Roman" w:cs="Times New Roman" w:eastAsia="Times New Roman"/>
          <w:lang w:eastAsia="ru-RU"/>
        </w:rPr>
        <w:t xml:space="preserve"> объем производится в течение 7</w:t>
      </w:r>
      <w:r>
        <w:rPr>
          <w:rFonts w:ascii="Times New Roman" w:hAnsi="Times New Roman" w:cs="Times New Roman" w:eastAsia="Times New Roman"/>
          <w:lang w:eastAsia="ru-RU"/>
        </w:rPr>
        <w:t xml:space="preserve"> (семи</w:t>
      </w:r>
      <w:r>
        <w:rPr>
          <w:rFonts w:ascii="Times New Roman" w:hAnsi="Times New Roman" w:cs="Times New Roman" w:eastAsia="Times New Roman"/>
          <w:lang w:eastAsia="ru-RU"/>
        </w:rPr>
        <w:t xml:space="preserve">) рабочих дней </w:t>
      </w:r>
      <w:r>
        <w:rPr>
          <w:rFonts w:ascii="Times New Roman" w:hAnsi="Times New Roman" w:cs="Times New Roman" w:eastAsia="Times New Roman"/>
          <w:lang w:eastAsia="ru-RU"/>
        </w:rPr>
        <w:t xml:space="preserve">для МСП</w:t>
      </w:r>
      <w:r>
        <w:rPr>
          <w:rFonts w:ascii="Times New Roman" w:hAnsi="Times New Roman" w:cs="Times New Roman" w:eastAsia="Times New Roman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lang w:eastAsia="ru-RU"/>
        </w:rPr>
        <w:t xml:space="preserve">с момента поставки и подписания сторонам</w:t>
      </w:r>
      <w:r>
        <w:rPr>
          <w:rFonts w:ascii="Times New Roman" w:hAnsi="Times New Roman" w:cs="Times New Roman" w:eastAsia="Times New Roman"/>
          <w:lang w:eastAsia="ru-RU"/>
        </w:rPr>
        <w:t xml:space="preserve">и Товарной накладной (Торг 12) или УПД.</w:t>
      </w:r>
      <w:r/>
    </w:p>
    <w:p>
      <w:pPr>
        <w:ind w:right="2280"/>
        <w:jc w:val="both"/>
        <w:spacing w:lineRule="exact" w:line="274" w:after="0"/>
        <w:rPr>
          <w:rFonts w:ascii="Times New Roman" w:hAnsi="Times New Roman" w:cs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 w:eastAsia="Times New Roman"/>
          <w:b/>
          <w:bCs/>
          <w:u w:val="single"/>
          <w:lang w:eastAsia="ru-RU"/>
        </w:rPr>
        <w:t xml:space="preserve">7. Требования к участникам размещения заказа, осуществляющим поставку товара.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7.1. </w:t>
      </w:r>
      <w:r>
        <w:rPr>
          <w:rFonts w:ascii="Times New Roman" w:hAnsi="Times New Roman" w:cs="Times New Roman" w:eastAsia="Times New Roman"/>
          <w:lang w:eastAsia="ru-RU"/>
        </w:rPr>
        <w:t xml:space="preserve">Гарантийные обязательства на товар несет Поставщик;</w:t>
      </w:r>
      <w:r/>
    </w:p>
    <w:p>
      <w:pPr>
        <w:jc w:val="both"/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7.2. Стоимость доставки должна быть включена в стоимость товара.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  <w:t xml:space="preserve">Начальник </w:t>
      </w:r>
      <w:r>
        <w:rPr>
          <w:rFonts w:ascii="Times New Roman" w:hAnsi="Times New Roman" w:cs="Times New Roman" w:eastAsia="Times New Roman"/>
          <w:lang w:eastAsia="ru-RU"/>
        </w:rPr>
        <w:t xml:space="preserve">ОИТ</w:t>
      </w:r>
      <w:r>
        <w:rPr>
          <w:rFonts w:ascii="Times New Roman" w:hAnsi="Times New Roman" w:cs="Times New Roman" w:eastAsia="Times New Roman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Д.В. Дыкин</w:t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i/>
          <w:lang w:eastAsia="ru-RU"/>
        </w:rPr>
      </w:pPr>
      <w:r>
        <w:rPr>
          <w:rFonts w:ascii="Times New Roman" w:hAnsi="Times New Roman" w:cs="Times New Roman" w:eastAsia="Times New Roman"/>
          <w:i/>
          <w:lang w:eastAsia="ru-RU"/>
        </w:rPr>
      </w:r>
      <w:r/>
    </w:p>
    <w:p>
      <w:pPr>
        <w:spacing w:lineRule="exact" w:line="274" w:after="0"/>
        <w:tabs>
          <w:tab w:val="left" w:pos="675" w:leader="none"/>
        </w:tabs>
        <w:rPr>
          <w:rFonts w:ascii="Times New Roman" w:hAnsi="Times New Roman" w:cs="Times New Roman" w:eastAsia="Times New Roman"/>
          <w:lang w:eastAsia="ru-RU"/>
        </w:rPr>
      </w:pPr>
      <w:r>
        <w:rPr>
          <w:rFonts w:ascii="Times New Roman" w:hAnsi="Times New Roman" w:cs="Times New Roman" w:eastAsia="Times New Roman"/>
          <w:lang w:eastAsia="ru-RU"/>
        </w:rPr>
      </w:r>
      <w:r/>
    </w:p>
    <w:sectPr>
      <w:footnotePr/>
      <w:endnotePr/>
      <w:type w:val="nextPage"/>
      <w:pgSz w:w="11909" w:h="16834" w:orient="portrait"/>
      <w:pgMar w:top="1440" w:right="1440" w:bottom="1440" w:left="1440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Roboto">
    <w:panose1 w:val="02000000000000000000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•"/>
      <w:lvlJc w:val="left"/>
      <w:pPr/>
      <w:rPr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2."/>
      <w:lvlJc w:val="left"/>
      <w:pPr/>
      <w:rPr>
        <w:rFonts w:ascii="Times New Roman" w:hAnsi="Times New Roman" w:cs="Times New Roman" w:eastAsia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position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3."/>
      <w:lvlJc w:val="left"/>
      <w:pPr/>
    </w:lvl>
    <w:lvl w:ilvl="3">
      <w:start w:val="1"/>
      <w:numFmt w:val="decimal"/>
      <w:isLgl w:val="false"/>
      <w:suff w:val="tab"/>
      <w:lvlText w:val="%3."/>
      <w:lvlJc w:val="left"/>
      <w:pPr/>
    </w:lvl>
    <w:lvl w:ilvl="4">
      <w:start w:val="1"/>
      <w:numFmt w:val="decimal"/>
      <w:isLgl w:val="false"/>
      <w:suff w:val="tab"/>
      <w:lvlText w:val="%3."/>
      <w:lvlJc w:val="left"/>
      <w:pPr/>
    </w:lvl>
    <w:lvl w:ilvl="5">
      <w:start w:val="1"/>
      <w:numFmt w:val="decimal"/>
      <w:isLgl w:val="false"/>
      <w:suff w:val="tab"/>
      <w:lvlText w:val="%3."/>
      <w:lvlJc w:val="left"/>
      <w:pPr/>
    </w:lvl>
    <w:lvl w:ilvl="6">
      <w:start w:val="1"/>
      <w:numFmt w:val="decimal"/>
      <w:isLgl w:val="false"/>
      <w:suff w:val="tab"/>
      <w:lvlText w:val="%3."/>
      <w:lvlJc w:val="left"/>
      <w:pPr/>
    </w:lvl>
    <w:lvl w:ilvl="7">
      <w:start w:val="1"/>
      <w:numFmt w:val="decimal"/>
      <w:isLgl w:val="false"/>
      <w:suff w:val="tab"/>
      <w:lvlText w:val="%3."/>
      <w:lvlJc w:val="left"/>
      <w:pPr/>
    </w:lvl>
    <w:lvl w:ilvl="8">
      <w:start w:val="1"/>
      <w:numFmt w:val="decimal"/>
      <w:isLgl w:val="false"/>
      <w:suff w:val="tab"/>
      <w:lvlText w:val="%3.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30" w:hanging="8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/>
        <w:u w:val="single"/>
      </w:rPr>
    </w:lvl>
    <w:lvl w:ilvl="1">
      <w:start w:val="1"/>
      <w:numFmt w:val="decimal"/>
      <w:isLgl/>
      <w:suff w:val="tab"/>
      <w:lvlText w:val="%1.%2."/>
      <w:lvlJc w:val="left"/>
      <w:pPr>
        <w:ind w:left="420" w:hanging="360"/>
      </w:pPr>
      <w:rPr>
        <w:rFonts w:hint="default"/>
        <w:b w:val="false"/>
        <w:color w:val="000000" w:themeColor="text1"/>
      </w:rPr>
    </w:lvl>
    <w:lvl w:ilvl="2">
      <w:start w:val="1"/>
      <w:numFmt w:val="decimal"/>
      <w:isLgl/>
      <w:suff w:val="tab"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10" w:hanging="57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6">
    <w:name w:val="Heading 1"/>
    <w:basedOn w:val="820"/>
    <w:next w:val="820"/>
    <w:link w:val="647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7">
    <w:name w:val="Heading 1 Char"/>
    <w:basedOn w:val="821"/>
    <w:link w:val="646"/>
    <w:uiPriority w:val="9"/>
    <w:rPr>
      <w:rFonts w:ascii="Arial" w:hAnsi="Arial" w:cs="Arial" w:eastAsia="Arial"/>
      <w:sz w:val="40"/>
      <w:szCs w:val="40"/>
    </w:rPr>
  </w:style>
  <w:style w:type="paragraph" w:styleId="648">
    <w:name w:val="Heading 2"/>
    <w:basedOn w:val="820"/>
    <w:next w:val="820"/>
    <w:link w:val="649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49">
    <w:name w:val="Heading 2 Char"/>
    <w:basedOn w:val="821"/>
    <w:link w:val="648"/>
    <w:uiPriority w:val="9"/>
    <w:rPr>
      <w:rFonts w:ascii="Arial" w:hAnsi="Arial" w:cs="Arial" w:eastAsia="Arial"/>
      <w:sz w:val="34"/>
    </w:rPr>
  </w:style>
  <w:style w:type="paragraph" w:styleId="650">
    <w:name w:val="Heading 3"/>
    <w:basedOn w:val="820"/>
    <w:next w:val="820"/>
    <w:link w:val="651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1">
    <w:name w:val="Heading 3 Char"/>
    <w:basedOn w:val="821"/>
    <w:link w:val="650"/>
    <w:uiPriority w:val="9"/>
    <w:rPr>
      <w:rFonts w:ascii="Arial" w:hAnsi="Arial" w:cs="Arial" w:eastAsia="Arial"/>
      <w:sz w:val="30"/>
      <w:szCs w:val="30"/>
    </w:rPr>
  </w:style>
  <w:style w:type="paragraph" w:styleId="652">
    <w:name w:val="Heading 4"/>
    <w:basedOn w:val="820"/>
    <w:next w:val="820"/>
    <w:link w:val="653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3">
    <w:name w:val="Heading 4 Char"/>
    <w:basedOn w:val="821"/>
    <w:link w:val="652"/>
    <w:uiPriority w:val="9"/>
    <w:rPr>
      <w:rFonts w:ascii="Arial" w:hAnsi="Arial" w:cs="Arial" w:eastAsia="Arial"/>
      <w:b/>
      <w:bCs/>
      <w:sz w:val="26"/>
      <w:szCs w:val="26"/>
    </w:rPr>
  </w:style>
  <w:style w:type="paragraph" w:styleId="654">
    <w:name w:val="Heading 5"/>
    <w:basedOn w:val="820"/>
    <w:next w:val="820"/>
    <w:link w:val="655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5">
    <w:name w:val="Heading 5 Char"/>
    <w:basedOn w:val="821"/>
    <w:link w:val="654"/>
    <w:uiPriority w:val="9"/>
    <w:rPr>
      <w:rFonts w:ascii="Arial" w:hAnsi="Arial" w:cs="Arial" w:eastAsia="Arial"/>
      <w:b/>
      <w:bCs/>
      <w:sz w:val="24"/>
      <w:szCs w:val="24"/>
    </w:rPr>
  </w:style>
  <w:style w:type="paragraph" w:styleId="656">
    <w:name w:val="Heading 6"/>
    <w:basedOn w:val="820"/>
    <w:next w:val="820"/>
    <w:link w:val="657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7">
    <w:name w:val="Heading 6 Char"/>
    <w:basedOn w:val="821"/>
    <w:link w:val="656"/>
    <w:uiPriority w:val="9"/>
    <w:rPr>
      <w:rFonts w:ascii="Arial" w:hAnsi="Arial" w:cs="Arial" w:eastAsia="Arial"/>
      <w:b/>
      <w:bCs/>
      <w:sz w:val="22"/>
      <w:szCs w:val="22"/>
    </w:rPr>
  </w:style>
  <w:style w:type="paragraph" w:styleId="658">
    <w:name w:val="Heading 7"/>
    <w:basedOn w:val="820"/>
    <w:next w:val="820"/>
    <w:link w:val="659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59">
    <w:name w:val="Heading 7 Char"/>
    <w:basedOn w:val="821"/>
    <w:link w:val="65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0">
    <w:name w:val="Heading 8"/>
    <w:basedOn w:val="820"/>
    <w:next w:val="820"/>
    <w:link w:val="66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1">
    <w:name w:val="Heading 8 Char"/>
    <w:basedOn w:val="821"/>
    <w:link w:val="660"/>
    <w:uiPriority w:val="9"/>
    <w:rPr>
      <w:rFonts w:ascii="Arial" w:hAnsi="Arial" w:cs="Arial" w:eastAsia="Arial"/>
      <w:i/>
      <w:iCs/>
      <w:sz w:val="22"/>
      <w:szCs w:val="22"/>
    </w:rPr>
  </w:style>
  <w:style w:type="paragraph" w:styleId="662">
    <w:name w:val="Heading 9"/>
    <w:basedOn w:val="820"/>
    <w:next w:val="820"/>
    <w:link w:val="663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3">
    <w:name w:val="Heading 9 Char"/>
    <w:basedOn w:val="821"/>
    <w:link w:val="662"/>
    <w:uiPriority w:val="9"/>
    <w:rPr>
      <w:rFonts w:ascii="Arial" w:hAnsi="Arial" w:cs="Arial" w:eastAsia="Arial"/>
      <w:i/>
      <w:iCs/>
      <w:sz w:val="21"/>
      <w:szCs w:val="21"/>
    </w:rPr>
  </w:style>
  <w:style w:type="paragraph" w:styleId="664">
    <w:name w:val="No Spacing"/>
    <w:qFormat/>
    <w:uiPriority w:val="1"/>
    <w:pPr>
      <w:spacing w:lineRule="auto" w:line="240" w:after="0" w:before="0"/>
    </w:pPr>
  </w:style>
  <w:style w:type="paragraph" w:styleId="665">
    <w:name w:val="Title"/>
    <w:basedOn w:val="820"/>
    <w:next w:val="820"/>
    <w:link w:val="66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6">
    <w:name w:val="Title Char"/>
    <w:basedOn w:val="821"/>
    <w:link w:val="665"/>
    <w:uiPriority w:val="10"/>
    <w:rPr>
      <w:sz w:val="48"/>
      <w:szCs w:val="48"/>
    </w:rPr>
  </w:style>
  <w:style w:type="paragraph" w:styleId="667">
    <w:name w:val="Subtitle"/>
    <w:basedOn w:val="820"/>
    <w:next w:val="820"/>
    <w:link w:val="668"/>
    <w:qFormat/>
    <w:uiPriority w:val="11"/>
    <w:rPr>
      <w:sz w:val="24"/>
      <w:szCs w:val="24"/>
    </w:rPr>
    <w:pPr>
      <w:spacing w:after="200" w:before="200"/>
    </w:pPr>
  </w:style>
  <w:style w:type="character" w:styleId="668">
    <w:name w:val="Subtitle Char"/>
    <w:basedOn w:val="821"/>
    <w:link w:val="667"/>
    <w:uiPriority w:val="11"/>
    <w:rPr>
      <w:sz w:val="24"/>
      <w:szCs w:val="24"/>
    </w:rPr>
  </w:style>
  <w:style w:type="paragraph" w:styleId="669">
    <w:name w:val="Quote"/>
    <w:basedOn w:val="820"/>
    <w:next w:val="820"/>
    <w:link w:val="670"/>
    <w:qFormat/>
    <w:uiPriority w:val="29"/>
    <w:rPr>
      <w:i/>
    </w:rPr>
    <w:pPr>
      <w:ind w:left="720" w:right="720"/>
    </w:pPr>
  </w:style>
  <w:style w:type="character" w:styleId="670">
    <w:name w:val="Quote Char"/>
    <w:link w:val="669"/>
    <w:uiPriority w:val="29"/>
    <w:rPr>
      <w:i/>
    </w:rPr>
  </w:style>
  <w:style w:type="paragraph" w:styleId="671">
    <w:name w:val="Intense Quote"/>
    <w:basedOn w:val="820"/>
    <w:next w:val="820"/>
    <w:link w:val="672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2">
    <w:name w:val="Intense Quote Char"/>
    <w:link w:val="671"/>
    <w:uiPriority w:val="30"/>
    <w:rPr>
      <w:i/>
    </w:rPr>
  </w:style>
  <w:style w:type="character" w:styleId="673">
    <w:name w:val="Header Char"/>
    <w:basedOn w:val="821"/>
    <w:link w:val="827"/>
    <w:uiPriority w:val="99"/>
  </w:style>
  <w:style w:type="character" w:styleId="674">
    <w:name w:val="Footer Char"/>
    <w:basedOn w:val="821"/>
    <w:link w:val="829"/>
    <w:uiPriority w:val="99"/>
  </w:style>
  <w:style w:type="paragraph" w:styleId="675">
    <w:name w:val="Caption"/>
    <w:basedOn w:val="820"/>
    <w:next w:val="82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6">
    <w:name w:val="Caption Char"/>
    <w:basedOn w:val="675"/>
    <w:link w:val="829"/>
    <w:uiPriority w:val="99"/>
  </w:style>
  <w:style w:type="table" w:styleId="677">
    <w:name w:val="Table Grid Light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8">
    <w:name w:val="Plain Table 1"/>
    <w:basedOn w:val="82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9">
    <w:name w:val="Plain Table 2"/>
    <w:basedOn w:val="82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0">
    <w:name w:val="Plain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1">
    <w:name w:val="Plain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Plain Table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3">
    <w:name w:val="Grid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Grid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Grid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Grid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1">
    <w:name w:val="Grid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2">
    <w:name w:val="Grid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3">
    <w:name w:val="Grid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4">
    <w:name w:val="Grid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5">
    <w:name w:val="Grid Table 4 - Accent 1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06">
    <w:name w:val="Grid Table 4 - Accent 2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07">
    <w:name w:val="Grid Table 4 - Accent 3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08">
    <w:name w:val="Grid Table 4 - Accent 4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09">
    <w:name w:val="Grid Table 4 - Accent 5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0">
    <w:name w:val="Grid Table 4 - Accent 6"/>
    <w:basedOn w:val="82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1">
    <w:name w:val="Grid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712">
    <w:name w:val="Grid Table 5 Dark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713">
    <w:name w:val="Grid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714">
    <w:name w:val="Grid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715">
    <w:name w:val="Grid Table 5 Dark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716">
    <w:name w:val="Grid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718">
    <w:name w:val="Grid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9">
    <w:name w:val="Grid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0">
    <w:name w:val="Grid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1">
    <w:name w:val="Grid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2">
    <w:name w:val="Grid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3">
    <w:name w:val="Grid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4">
    <w:name w:val="Grid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5">
    <w:name w:val="Grid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26">
    <w:name w:val="Grid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27">
    <w:name w:val="Grid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28">
    <w:name w:val="Grid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29">
    <w:name w:val="Grid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List Table 1 Light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List Table 1 Light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List Table 1 Light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List Table 1 Light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0">
    <w:name w:val="List Table 2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1">
    <w:name w:val="List Table 2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2">
    <w:name w:val="List Table 2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3">
    <w:name w:val="List Table 2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4">
    <w:name w:val="List Table 2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5">
    <w:name w:val="List Table 2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46">
    <w:name w:val="List Table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3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3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3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4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4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5 Dark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1">
    <w:name w:val="List Table 5 Dark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2">
    <w:name w:val="List Table 5 Dark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3">
    <w:name w:val="List Table 5 Dark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4">
    <w:name w:val="List Table 5 Dark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6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68">
    <w:name w:val="List Table 6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69">
    <w:name w:val="List Table 6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0">
    <w:name w:val="List Table 6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1">
    <w:name w:val="List Table 6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2">
    <w:name w:val="List Table 6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3">
    <w:name w:val="List Table 6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4">
    <w:name w:val="List Table 7 Colorful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5">
    <w:name w:val="List Table 7 Colorful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76">
    <w:name w:val="List Table 7 Colorful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77">
    <w:name w:val="List Table 7 Colorful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8">
    <w:name w:val="List Table 7 Colorful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9">
    <w:name w:val="List Table 7 Colorful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0">
    <w:name w:val="List Table 7 Colorful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1">
    <w:name w:val="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2">
    <w:name w:val="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83">
    <w:name w:val="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84">
    <w:name w:val="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85">
    <w:name w:val="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86">
    <w:name w:val="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87">
    <w:name w:val="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88">
    <w:name w:val="Bordered &amp; Lined - Accent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789">
    <w:name w:val="Bordered &amp; Lined - Accent 1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790">
    <w:name w:val="Bordered &amp; Lined - Accent 2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791">
    <w:name w:val="Bordered &amp; Lined - Accent 3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792">
    <w:name w:val="Bordered &amp; Lined - Accent 4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793">
    <w:name w:val="Bordered &amp; Lined - Accent 5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794">
    <w:name w:val="Bordered &amp; Lined - Accent 6"/>
    <w:basedOn w:val="82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795">
    <w:name w:val="Bordered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796">
    <w:name w:val="Bordered - Accent 1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797">
    <w:name w:val="Bordered - Accent 2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798">
    <w:name w:val="Bordered - Accent 3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799">
    <w:name w:val="Bordered - Accent 4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0">
    <w:name w:val="Bordered - Accent 5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1">
    <w:name w:val="Bordered - Accent 6"/>
    <w:basedOn w:val="82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2">
    <w:name w:val="Hyperlink"/>
    <w:uiPriority w:val="99"/>
    <w:unhideWhenUsed/>
    <w:rPr>
      <w:color w:val="0000FF" w:themeColor="hyperlink"/>
      <w:u w:val="single"/>
    </w:rPr>
  </w:style>
  <w:style w:type="paragraph" w:styleId="803">
    <w:name w:val="footnote text"/>
    <w:basedOn w:val="820"/>
    <w:link w:val="804"/>
    <w:uiPriority w:val="99"/>
    <w:semiHidden/>
    <w:unhideWhenUsed/>
    <w:rPr>
      <w:sz w:val="18"/>
    </w:rPr>
    <w:pPr>
      <w:spacing w:lineRule="auto" w:line="240" w:after="40"/>
    </w:pPr>
  </w:style>
  <w:style w:type="character" w:styleId="804">
    <w:name w:val="Footnote Text Char"/>
    <w:link w:val="803"/>
    <w:uiPriority w:val="99"/>
    <w:rPr>
      <w:sz w:val="18"/>
    </w:rPr>
  </w:style>
  <w:style w:type="character" w:styleId="805">
    <w:name w:val="footnote reference"/>
    <w:basedOn w:val="821"/>
    <w:uiPriority w:val="99"/>
    <w:unhideWhenUsed/>
    <w:rPr>
      <w:vertAlign w:val="superscript"/>
    </w:rPr>
  </w:style>
  <w:style w:type="paragraph" w:styleId="806">
    <w:name w:val="endnote text"/>
    <w:basedOn w:val="820"/>
    <w:link w:val="807"/>
    <w:uiPriority w:val="99"/>
    <w:semiHidden/>
    <w:unhideWhenUsed/>
    <w:rPr>
      <w:sz w:val="20"/>
    </w:rPr>
    <w:pPr>
      <w:spacing w:lineRule="auto" w:line="240" w:after="0"/>
    </w:pPr>
  </w:style>
  <w:style w:type="character" w:styleId="807">
    <w:name w:val="Endnote Text Char"/>
    <w:link w:val="806"/>
    <w:uiPriority w:val="99"/>
    <w:rPr>
      <w:sz w:val="20"/>
    </w:rPr>
  </w:style>
  <w:style w:type="character" w:styleId="808">
    <w:name w:val="endnote reference"/>
    <w:basedOn w:val="821"/>
    <w:uiPriority w:val="99"/>
    <w:semiHidden/>
    <w:unhideWhenUsed/>
    <w:rPr>
      <w:vertAlign w:val="superscript"/>
    </w:rPr>
  </w:style>
  <w:style w:type="paragraph" w:styleId="809">
    <w:name w:val="toc 1"/>
    <w:basedOn w:val="820"/>
    <w:next w:val="820"/>
    <w:uiPriority w:val="39"/>
    <w:unhideWhenUsed/>
    <w:pPr>
      <w:ind w:left="0" w:right="0" w:firstLine="0"/>
      <w:spacing w:after="57"/>
    </w:pPr>
  </w:style>
  <w:style w:type="paragraph" w:styleId="810">
    <w:name w:val="toc 2"/>
    <w:basedOn w:val="820"/>
    <w:next w:val="820"/>
    <w:uiPriority w:val="39"/>
    <w:unhideWhenUsed/>
    <w:pPr>
      <w:ind w:left="283" w:right="0" w:firstLine="0"/>
      <w:spacing w:after="57"/>
    </w:pPr>
  </w:style>
  <w:style w:type="paragraph" w:styleId="811">
    <w:name w:val="toc 3"/>
    <w:basedOn w:val="820"/>
    <w:next w:val="820"/>
    <w:uiPriority w:val="39"/>
    <w:unhideWhenUsed/>
    <w:pPr>
      <w:ind w:left="567" w:right="0" w:firstLine="0"/>
      <w:spacing w:after="57"/>
    </w:pPr>
  </w:style>
  <w:style w:type="paragraph" w:styleId="812">
    <w:name w:val="toc 4"/>
    <w:basedOn w:val="820"/>
    <w:next w:val="820"/>
    <w:uiPriority w:val="39"/>
    <w:unhideWhenUsed/>
    <w:pPr>
      <w:ind w:left="850" w:right="0" w:firstLine="0"/>
      <w:spacing w:after="57"/>
    </w:pPr>
  </w:style>
  <w:style w:type="paragraph" w:styleId="813">
    <w:name w:val="toc 5"/>
    <w:basedOn w:val="820"/>
    <w:next w:val="820"/>
    <w:uiPriority w:val="39"/>
    <w:unhideWhenUsed/>
    <w:pPr>
      <w:ind w:left="1134" w:right="0" w:firstLine="0"/>
      <w:spacing w:after="57"/>
    </w:pPr>
  </w:style>
  <w:style w:type="paragraph" w:styleId="814">
    <w:name w:val="toc 6"/>
    <w:basedOn w:val="820"/>
    <w:next w:val="820"/>
    <w:uiPriority w:val="39"/>
    <w:unhideWhenUsed/>
    <w:pPr>
      <w:ind w:left="1417" w:right="0" w:firstLine="0"/>
      <w:spacing w:after="57"/>
    </w:pPr>
  </w:style>
  <w:style w:type="paragraph" w:styleId="815">
    <w:name w:val="toc 7"/>
    <w:basedOn w:val="820"/>
    <w:next w:val="820"/>
    <w:uiPriority w:val="39"/>
    <w:unhideWhenUsed/>
    <w:pPr>
      <w:ind w:left="1701" w:right="0" w:firstLine="0"/>
      <w:spacing w:after="57"/>
    </w:pPr>
  </w:style>
  <w:style w:type="paragraph" w:styleId="816">
    <w:name w:val="toc 8"/>
    <w:basedOn w:val="820"/>
    <w:next w:val="820"/>
    <w:uiPriority w:val="39"/>
    <w:unhideWhenUsed/>
    <w:pPr>
      <w:ind w:left="1984" w:right="0" w:firstLine="0"/>
      <w:spacing w:after="57"/>
    </w:pPr>
  </w:style>
  <w:style w:type="paragraph" w:styleId="817">
    <w:name w:val="toc 9"/>
    <w:basedOn w:val="820"/>
    <w:next w:val="820"/>
    <w:uiPriority w:val="39"/>
    <w:unhideWhenUsed/>
    <w:pPr>
      <w:ind w:left="2268" w:right="0" w:firstLine="0"/>
      <w:spacing w:after="57"/>
    </w:pPr>
  </w:style>
  <w:style w:type="paragraph" w:styleId="818">
    <w:name w:val="TOC Heading"/>
    <w:uiPriority w:val="39"/>
    <w:unhideWhenUsed/>
  </w:style>
  <w:style w:type="paragraph" w:styleId="819">
    <w:name w:val="table of figures"/>
    <w:basedOn w:val="820"/>
    <w:next w:val="820"/>
    <w:uiPriority w:val="99"/>
    <w:unhideWhenUsed/>
    <w:pPr>
      <w:spacing w:after="0" w:afterAutospacing="0"/>
    </w:pPr>
  </w:style>
  <w:style w:type="paragraph" w:styleId="820" w:default="1">
    <w:name w:val="Normal"/>
    <w:qFormat/>
  </w:style>
  <w:style w:type="character" w:styleId="821" w:default="1">
    <w:name w:val="Default Paragraph Font"/>
    <w:uiPriority w:val="1"/>
    <w:semiHidden/>
    <w:unhideWhenUsed/>
  </w:style>
  <w:style w:type="table" w:styleId="8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3" w:default="1">
    <w:name w:val="No List"/>
    <w:uiPriority w:val="99"/>
    <w:semiHidden/>
    <w:unhideWhenUsed/>
  </w:style>
  <w:style w:type="paragraph" w:styleId="824">
    <w:name w:val="List Paragraph"/>
    <w:basedOn w:val="820"/>
    <w:qFormat/>
    <w:uiPriority w:val="34"/>
    <w:pPr>
      <w:contextualSpacing w:val="true"/>
      <w:ind w:left="720"/>
    </w:pPr>
  </w:style>
  <w:style w:type="paragraph" w:styleId="825">
    <w:name w:val="Balloon Text"/>
    <w:basedOn w:val="820"/>
    <w:link w:val="826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826" w:customStyle="1">
    <w:name w:val="Текст выноски Знак"/>
    <w:basedOn w:val="821"/>
    <w:link w:val="825"/>
    <w:uiPriority w:val="99"/>
    <w:semiHidden/>
    <w:rPr>
      <w:rFonts w:ascii="Segoe UI" w:hAnsi="Segoe UI" w:cs="Segoe UI"/>
      <w:sz w:val="18"/>
      <w:szCs w:val="18"/>
    </w:rPr>
  </w:style>
  <w:style w:type="paragraph" w:styleId="827">
    <w:name w:val="Header"/>
    <w:basedOn w:val="820"/>
    <w:link w:val="82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28" w:customStyle="1">
    <w:name w:val="Верхний колонтитул Знак"/>
    <w:basedOn w:val="821"/>
    <w:link w:val="827"/>
    <w:uiPriority w:val="99"/>
  </w:style>
  <w:style w:type="paragraph" w:styleId="829">
    <w:name w:val="Footer"/>
    <w:basedOn w:val="820"/>
    <w:link w:val="83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30" w:customStyle="1">
    <w:name w:val="Нижний колонтитул Знак"/>
    <w:basedOn w:val="821"/>
    <w:link w:val="829"/>
    <w:uiPriority w:val="99"/>
  </w:style>
  <w:style w:type="table" w:styleId="831">
    <w:name w:val="Table Grid"/>
    <w:basedOn w:val="822"/>
    <w:uiPriority w:val="59"/>
    <w:pPr>
      <w:spacing w:lineRule="auto" w:line="240" w:after="0"/>
    </w:pPr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character" w:styleId="832" w:customStyle="1">
    <w:name w:val="Основной текст (2)"/>
    <w:basedOn w:val="821"/>
    <w:rPr>
      <w:rFonts w:ascii="Arial" w:hAnsi="Arial" w:cs="Arial" w:eastAsia="Arial" w:hint="default"/>
      <w:b w:val="false"/>
      <w:bCs w:val="false"/>
      <w:i w:val="false"/>
      <w:iCs w:val="false"/>
      <w:smallCaps w:val="false"/>
      <w:strike w:val="false"/>
      <w:color w:val="000000"/>
      <w:spacing w:val="0"/>
      <w:position w:val="0"/>
      <w:sz w:val="20"/>
      <w:szCs w:val="20"/>
      <w:u w:val="none"/>
      <w:lang w:val="ru-RU" w:bidi="ru-RU" w:eastAsia="ru-RU"/>
    </w:rPr>
  </w:style>
  <w:style w:type="paragraph" w:styleId="833" w:customStyle="1">
    <w:name w:val="Default"/>
    <w:rPr>
      <w:rFonts w:ascii="Roboto" w:hAnsi="Roboto" w:cs="Roboto" w:eastAsia="Calibri"/>
      <w:color w:val="000000"/>
      <w:sz w:val="24"/>
      <w:szCs w:val="24"/>
      <w:lang w:eastAsia="ru-RU"/>
    </w:rPr>
    <w:pPr>
      <w:spacing w:lineRule="auto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Р7-Офис/6.2.2.20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</dc:creator>
  <cp:revision>10</cp:revision>
  <dcterms:created xsi:type="dcterms:W3CDTF">2025-02-10T07:37:00Z</dcterms:created>
  <dcterms:modified xsi:type="dcterms:W3CDTF">2026-06-24T10:59:41Z</dcterms:modified>
</cp:coreProperties>
</file>