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4857C2A8" w14:textId="76331052" w:rsidR="0041675F" w:rsidRDefault="0041675F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41675F">
        <w:rPr>
          <w:rFonts w:eastAsia="Calibri"/>
          <w:sz w:val="26"/>
          <w:szCs w:val="26"/>
        </w:rPr>
        <w:t>ОКПД</w:t>
      </w:r>
      <w:proofErr w:type="gramStart"/>
      <w:r w:rsidRPr="0041675F">
        <w:rPr>
          <w:rFonts w:eastAsia="Calibri"/>
          <w:sz w:val="26"/>
          <w:szCs w:val="26"/>
        </w:rPr>
        <w:t>2</w:t>
      </w:r>
      <w:proofErr w:type="gramEnd"/>
      <w:r w:rsidRPr="0041675F">
        <w:rPr>
          <w:rFonts w:eastAsia="Calibri"/>
          <w:sz w:val="26"/>
          <w:szCs w:val="26"/>
        </w:rPr>
        <w:t xml:space="preserve"> 20.59.43</w:t>
      </w:r>
      <w:r>
        <w:rPr>
          <w:rFonts w:eastAsia="Calibri"/>
          <w:sz w:val="26"/>
          <w:szCs w:val="26"/>
        </w:rPr>
        <w:t xml:space="preserve"> </w:t>
      </w:r>
      <w:r w:rsidRPr="0041675F">
        <w:rPr>
          <w:rFonts w:eastAsia="Calibri"/>
          <w:sz w:val="26"/>
          <w:szCs w:val="26"/>
        </w:rPr>
        <w:t>Охлаждающая жидкость (тосол) для нужд филиала ПЭС "Уренгой"</w:t>
      </w:r>
    </w:p>
    <w:p w14:paraId="45806B9C" w14:textId="22D8E76D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9376C0">
        <w:rPr>
          <w:rFonts w:eastAsia="Calibri"/>
          <w:sz w:val="26"/>
          <w:szCs w:val="26"/>
        </w:rPr>
        <w:t xml:space="preserve">Лот № </w:t>
      </w:r>
      <w:r w:rsidR="0041675F" w:rsidRPr="0041675F">
        <w:rPr>
          <w:rFonts w:eastAsia="Calibri"/>
          <w:sz w:val="26"/>
          <w:szCs w:val="26"/>
        </w:rPr>
        <w:t>33101-ЭКСП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F92C50" w14:textId="77777777" w:rsidR="00BC697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3206351" w:history="1">
        <w:r w:rsidR="00BC697E" w:rsidRPr="00B75178">
          <w:rPr>
            <w:rStyle w:val="af6"/>
            <w:noProof/>
          </w:rPr>
          <w:t>1.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Общие сведения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3225C9FC" w14:textId="77777777" w:rsidR="00BC697E" w:rsidRDefault="00B03AF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2" w:history="1">
        <w:r w:rsidR="00BC697E" w:rsidRPr="00B75178">
          <w:rPr>
            <w:rStyle w:val="af6"/>
            <w:iCs/>
            <w:noProof/>
          </w:rPr>
          <w:t>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Обозначения и сокращения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6EC2A8FA" w14:textId="77777777" w:rsidR="00BC697E" w:rsidRDefault="00B03AF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3" w:history="1">
        <w:r w:rsidR="00BC697E" w:rsidRPr="00B75178">
          <w:rPr>
            <w:rStyle w:val="af6"/>
            <w:iCs/>
            <w:noProof/>
          </w:rPr>
          <w:t>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Наименование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_Toc193206353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3CD97642" w14:textId="77777777" w:rsidR="00BC697E" w:rsidRDefault="00B03AF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4" w:history="1">
        <w:r w:rsidR="00BC697E" w:rsidRPr="00B75178">
          <w:rPr>
            <w:rStyle w:val="af6"/>
            <w:noProof/>
          </w:rPr>
          <w:t>2.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iCs/>
            <w:noProof/>
          </w:rPr>
          <w:t>Требования к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_Toc193206354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D9A8A21" w14:textId="77777777" w:rsidR="00BC697E" w:rsidRDefault="00B03AF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5" w:history="1">
        <w:r w:rsidR="00BC697E" w:rsidRPr="00B75178">
          <w:rPr>
            <w:rStyle w:val="af6"/>
            <w:iCs/>
            <w:noProof/>
          </w:rPr>
          <w:t>2.1.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объемам и срокам поставки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_Toc193206355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2CB2111F" w14:textId="77777777" w:rsidR="00BC697E" w:rsidRDefault="00B03AF4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6" w:history="1">
        <w:r w:rsidR="00BC697E" w:rsidRPr="00B75178">
          <w:rPr>
            <w:rStyle w:val="af6"/>
            <w:noProof/>
          </w:rPr>
          <w:t>2.1.1.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_Toc193206356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64792ED" w14:textId="77777777" w:rsidR="00BC697E" w:rsidRDefault="00B03AF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7" w:history="1">
        <w:r w:rsidR="00BC697E" w:rsidRPr="00B75178">
          <w:rPr>
            <w:rStyle w:val="af6"/>
            <w:noProof/>
          </w:rPr>
          <w:t>Таблица 1.1 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_Toc193206357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2DC5E92" w14:textId="77777777" w:rsidR="00BC697E" w:rsidRDefault="00B03AF4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8" w:history="1">
        <w:r w:rsidR="00BC697E" w:rsidRPr="00B75178">
          <w:rPr>
            <w:rStyle w:val="af6"/>
            <w:noProof/>
          </w:rPr>
          <w:t>2.1.2.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_Toc193206358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1B24E407" w14:textId="77777777" w:rsidR="00BC697E" w:rsidRDefault="00B03AF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9" w:history="1">
        <w:r w:rsidR="00BC697E" w:rsidRPr="00B75178">
          <w:rPr>
            <w:rStyle w:val="af6"/>
            <w:noProof/>
          </w:rPr>
          <w:t>Таблица 2.1 Требования по срокам поставки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_Toc193206359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14CA3FA" w14:textId="77777777" w:rsidR="00BC697E" w:rsidRDefault="00B03AF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60" w:history="1">
        <w:r w:rsidR="00BC697E" w:rsidRPr="00B75178">
          <w:rPr>
            <w:rStyle w:val="af6"/>
            <w:iCs/>
            <w:noProof/>
          </w:rPr>
          <w:t>2.2.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_Toc193206360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243B99F2" w14:textId="77777777" w:rsidR="00BC697E" w:rsidRDefault="00B03AF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1" w:history="1">
        <w:r w:rsidR="00BC697E" w:rsidRPr="00B75178">
          <w:rPr>
            <w:rStyle w:val="af6"/>
            <w:noProof/>
          </w:rPr>
          <w:t>Таблица 3. 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1D8D9097" w14:textId="77777777" w:rsidR="00BC697E" w:rsidRDefault="00B03AF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2" w:history="1">
        <w:r w:rsidR="00BC697E" w:rsidRPr="00B75178">
          <w:rPr>
            <w:rStyle w:val="af6"/>
            <w:noProof/>
          </w:rPr>
          <w:t>3.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документации по ценообразованию на этапе закупки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8</w:t>
        </w:r>
        <w:r w:rsidR="00BC697E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93206351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93206352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55645" w:rsidRPr="00293481" w14:paraId="7DCF5EF3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2130F5E6" w14:textId="0FF0332B" w:rsidR="00855645" w:rsidRPr="00293481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</w:tcPr>
          <w:p w14:paraId="6E563F82" w14:textId="4A614065" w:rsidR="00855645" w:rsidRPr="00293481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9320635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572B1FB3" w:rsidR="00232850" w:rsidRPr="00C4463B" w:rsidRDefault="0041675F" w:rsidP="00CA63A9">
      <w:pPr>
        <w:widowControl w:val="0"/>
        <w:tabs>
          <w:tab w:val="left" w:pos="426"/>
        </w:tabs>
        <w:spacing w:before="120" w:after="120"/>
      </w:pPr>
      <w:r>
        <w:rPr>
          <w:rFonts w:eastAsia="Calibri"/>
          <w:i/>
          <w:sz w:val="24"/>
          <w:szCs w:val="24"/>
          <w:lang w:eastAsia="x-none"/>
        </w:rPr>
        <w:t>Охлаждающая жидкость (тосол)</w:t>
      </w:r>
      <w:r w:rsidR="006A4C5B" w:rsidRPr="006A4C5B">
        <w:rPr>
          <w:rFonts w:eastAsia="Calibri"/>
          <w:i/>
          <w:sz w:val="24"/>
          <w:szCs w:val="24"/>
          <w:lang w:eastAsia="x-none"/>
        </w:rPr>
        <w:t xml:space="preserve">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93206354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19320635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193206356"/>
      <w:r>
        <w:rPr>
          <w:lang w:val="ru-RU"/>
        </w:rPr>
        <w:t>Перечень и объем закупаемой продукции</w:t>
      </w:r>
      <w:bookmarkEnd w:id="11"/>
    </w:p>
    <w:p w14:paraId="234EFB5C" w14:textId="77777777" w:rsidR="00CA63A9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9320635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Style w:val="110"/>
        <w:tblW w:w="9425" w:type="dxa"/>
        <w:jc w:val="center"/>
        <w:tblInd w:w="-1569" w:type="dxa"/>
        <w:tblLayout w:type="fixed"/>
        <w:tblLook w:val="04A0" w:firstRow="1" w:lastRow="0" w:firstColumn="1" w:lastColumn="0" w:noHBand="0" w:noVBand="1"/>
      </w:tblPr>
      <w:tblGrid>
        <w:gridCol w:w="637"/>
        <w:gridCol w:w="1984"/>
        <w:gridCol w:w="4892"/>
        <w:gridCol w:w="987"/>
        <w:gridCol w:w="925"/>
      </w:tblGrid>
      <w:tr w:rsidR="00CA63A9" w:rsidRPr="00CA63A9" w14:paraId="2CC54F9A" w14:textId="77777777" w:rsidTr="006A4C5B">
        <w:trPr>
          <w:trHeight w:val="420"/>
          <w:jc w:val="center"/>
        </w:trPr>
        <w:tc>
          <w:tcPr>
            <w:tcW w:w="637" w:type="dxa"/>
          </w:tcPr>
          <w:p w14:paraId="280DC30D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1984" w:type="dxa"/>
          </w:tcPr>
          <w:p w14:paraId="3300A044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4892" w:type="dxa"/>
          </w:tcPr>
          <w:p w14:paraId="3A1122AD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A9">
              <w:rPr>
                <w:rFonts w:ascii="Times New Roman" w:hAnsi="Times New Roman"/>
                <w:sz w:val="24"/>
                <w:szCs w:val="24"/>
              </w:rPr>
              <w:t>Технические</w:t>
            </w:r>
          </w:p>
          <w:p w14:paraId="3E6C15BF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A9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987" w:type="dxa"/>
          </w:tcPr>
          <w:p w14:paraId="538B247D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Ед.</w:t>
            </w:r>
          </w:p>
          <w:p w14:paraId="1C03C307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925" w:type="dxa"/>
          </w:tcPr>
          <w:p w14:paraId="575DA16F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Кол</w:t>
            </w:r>
          </w:p>
          <w:p w14:paraId="3E06FA83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-во</w:t>
            </w:r>
          </w:p>
        </w:tc>
      </w:tr>
      <w:tr w:rsidR="00CA63A9" w:rsidRPr="00CA63A9" w14:paraId="36DB96BC" w14:textId="77777777" w:rsidTr="006A4C5B">
        <w:trPr>
          <w:jc w:val="center"/>
        </w:trPr>
        <w:tc>
          <w:tcPr>
            <w:tcW w:w="637" w:type="dxa"/>
          </w:tcPr>
          <w:p w14:paraId="288BA2E2" w14:textId="77777777" w:rsidR="00CA63A9" w:rsidRPr="00CA63A9" w:rsidRDefault="00CA63A9" w:rsidP="00CA63A9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FF48D13" w14:textId="752D6BED" w:rsidR="00CA63A9" w:rsidRPr="00CA63A9" w:rsidRDefault="0041675F" w:rsidP="00CA63A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1675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Охлаждающая жидкость (тосол</w:t>
            </w:r>
            <w:r w:rsidR="00B03AF4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А-65М</w:t>
            </w:r>
            <w:bookmarkStart w:id="14" w:name="_GoBack"/>
            <w:bookmarkEnd w:id="14"/>
            <w:r w:rsidRPr="0041675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) для нужд филиала ПЭС "Уренгой"</w:t>
            </w:r>
          </w:p>
        </w:tc>
        <w:tc>
          <w:tcPr>
            <w:tcW w:w="4892" w:type="dxa"/>
          </w:tcPr>
          <w:p w14:paraId="045D98C8" w14:textId="77777777" w:rsidR="0041675F" w:rsidRPr="0041675F" w:rsidRDefault="0041675F" w:rsidP="0041675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>Охлаждающая жидкость (Тосол А-65М) применяется для отвода тепла от масла, идущего на смазку подшипников двигателя и масла, идущего на смазку опор генератора. Кроме того, охлаждающая жидкость подводится в воздухоохладитель турбогенератора для отвода электрических потерь, в виде тепла выделяющегося при работе турбогенератора.</w:t>
            </w:r>
          </w:p>
          <w:p w14:paraId="15BAE602" w14:textId="77777777" w:rsidR="0041675F" w:rsidRPr="0041675F" w:rsidRDefault="0041675F" w:rsidP="0041675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>Тосол А-65М должен соответствовать техническим требованиям ГОСТ 28084-89.</w:t>
            </w:r>
          </w:p>
          <w:p w14:paraId="3E169ACA" w14:textId="77777777" w:rsidR="0041675F" w:rsidRPr="0041675F" w:rsidRDefault="0041675F" w:rsidP="0041675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Температура начала кристаллизации - не менее: -65ºС. </w:t>
            </w:r>
          </w:p>
          <w:p w14:paraId="043D1CD7" w14:textId="77777777" w:rsidR="0041675F" w:rsidRPr="0041675F" w:rsidRDefault="0041675F" w:rsidP="0041675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Термическая стабильность - не менее: +130ºС. </w:t>
            </w:r>
          </w:p>
          <w:p w14:paraId="0EBC9505" w14:textId="37881556" w:rsidR="00CA63A9" w:rsidRPr="00CA63A9" w:rsidRDefault="0041675F" w:rsidP="0041675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>Плотность при +20</w:t>
            </w:r>
            <w:proofErr w:type="gramStart"/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>ºС</w:t>
            </w:r>
            <w:proofErr w:type="gramEnd"/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- 1,085-1,100 </w:t>
            </w:r>
            <w:proofErr w:type="spellStart"/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>гр</w:t>
            </w:r>
            <w:proofErr w:type="spellEnd"/>
            <w:r w:rsidRPr="0041675F">
              <w:rPr>
                <w:rFonts w:ascii="Times New Roman" w:hAnsi="Times New Roman"/>
                <w:snapToGrid w:val="0"/>
                <w:sz w:val="24"/>
                <w:szCs w:val="24"/>
              </w:rPr>
              <w:t>/см3</w:t>
            </w:r>
          </w:p>
        </w:tc>
        <w:tc>
          <w:tcPr>
            <w:tcW w:w="987" w:type="dxa"/>
          </w:tcPr>
          <w:p w14:paraId="73ADA842" w14:textId="2773F124" w:rsidR="00CA63A9" w:rsidRPr="00CA63A9" w:rsidRDefault="006A4C5B" w:rsidP="00CA63A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кг</w:t>
            </w:r>
          </w:p>
        </w:tc>
        <w:tc>
          <w:tcPr>
            <w:tcW w:w="925" w:type="dxa"/>
          </w:tcPr>
          <w:p w14:paraId="681CE073" w14:textId="62C741B6" w:rsidR="00CA63A9" w:rsidRPr="00CA63A9" w:rsidRDefault="0041675F" w:rsidP="00CA63A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7040</w:t>
            </w:r>
          </w:p>
        </w:tc>
      </w:tr>
    </w:tbl>
    <w:p w14:paraId="1658E18A" w14:textId="29B86D89" w:rsidR="00213F03" w:rsidRPr="00305BB9" w:rsidRDefault="00213F03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19320635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  <w:bookmarkEnd w:id="17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9320635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7E9D3BA9" w:rsidR="00FC0276" w:rsidRPr="006076ED" w:rsidRDefault="0041675F" w:rsidP="00515D7D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Охлаждающая жидкость (тосол)</w:t>
            </w: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B8F5777" w:rsidR="00FC0276" w:rsidRPr="006076ED" w:rsidRDefault="00FC0276" w:rsidP="0041675F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41675F">
              <w:rPr>
                <w:i/>
                <w:iCs/>
                <w:sz w:val="22"/>
                <w:szCs w:val="22"/>
              </w:rPr>
              <w:t>6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2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193206360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9320636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63106342" w:rsidR="00A73461" w:rsidRPr="00A446BE" w:rsidRDefault="00A73461" w:rsidP="00BC697E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41675F">
        <w:rPr>
          <w:rFonts w:eastAsia="Calibri"/>
          <w:i/>
          <w:sz w:val="24"/>
          <w:szCs w:val="24"/>
          <w:lang w:eastAsia="x-none"/>
        </w:rPr>
        <w:t>Охлаждающая жидкость (тосол)</w:t>
      </w:r>
      <w:r w:rsidR="0041675F" w:rsidRPr="006A4C5B">
        <w:rPr>
          <w:rFonts w:eastAsia="Calibri"/>
          <w:i/>
          <w:sz w:val="24"/>
          <w:szCs w:val="24"/>
          <w:lang w:eastAsia="x-none"/>
        </w:rPr>
        <w:t xml:space="preserve">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15CF89C8" w:rsidR="008E36DE" w:rsidRPr="002D6A00" w:rsidRDefault="0041675F" w:rsidP="00CA63A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Охлаждающая жидкость (тосол)</w:t>
            </w: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61E0CC9A" w:rsidR="004D1DE5" w:rsidRPr="00A73461" w:rsidRDefault="0041675F" w:rsidP="004D1DE5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Охлаждающая жидкость (тосол)</w:t>
            </w: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54D7C3C5" w:rsidR="004D1DE5" w:rsidRPr="00940C11" w:rsidRDefault="0041675F" w:rsidP="004D1DE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Охлаждающая жидкость (тосол)</w:t>
            </w: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</w:t>
            </w: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нужд филиала ПЭС "Уренгой"</w:t>
            </w:r>
          </w:p>
        </w:tc>
        <w:tc>
          <w:tcPr>
            <w:tcW w:w="2985" w:type="dxa"/>
          </w:tcPr>
          <w:p w14:paraId="65DEDE87" w14:textId="4EE79A6C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lastRenderedPageBreak/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  <w:r w:rsidR="002F7A4D">
              <w:rPr>
                <w:i/>
                <w:snapToGrid w:val="0"/>
                <w:sz w:val="22"/>
                <w:szCs w:val="22"/>
              </w:rPr>
              <w:t xml:space="preserve"> Выгрузку товара на производственную площадку филиала ПЭС «Уренгой» осуществляет Поставщик.</w:t>
            </w:r>
          </w:p>
          <w:p w14:paraId="7E02A924" w14:textId="532F4F70" w:rsidR="0041675F" w:rsidRDefault="0041675F" w:rsidP="002B1961">
            <w:pPr>
              <w:rPr>
                <w:i/>
                <w:snapToGrid w:val="0"/>
                <w:sz w:val="22"/>
                <w:szCs w:val="22"/>
              </w:rPr>
            </w:pPr>
            <w:r w:rsidRPr="0041675F">
              <w:rPr>
                <w:i/>
                <w:snapToGrid w:val="0"/>
                <w:sz w:val="22"/>
                <w:szCs w:val="22"/>
              </w:rPr>
              <w:t xml:space="preserve">Доставка осуществляется автомобильным транспортом тарным способом в бочках или наливом в автоцистерне или </w:t>
            </w:r>
            <w:proofErr w:type="gramStart"/>
            <w:r w:rsidRPr="0041675F">
              <w:rPr>
                <w:i/>
                <w:snapToGrid w:val="0"/>
                <w:sz w:val="22"/>
                <w:szCs w:val="22"/>
              </w:rPr>
              <w:t>танк-контейнере</w:t>
            </w:r>
            <w:proofErr w:type="gramEnd"/>
            <w:r w:rsidRPr="0041675F">
              <w:rPr>
                <w:i/>
                <w:snapToGrid w:val="0"/>
                <w:sz w:val="22"/>
                <w:szCs w:val="22"/>
              </w:rPr>
              <w:t xml:space="preserve"> с соблюдением требований и рекомендаций ДОПОГ.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2BFC62CC" w:rsidR="004D1DE5" w:rsidRPr="00D07447" w:rsidRDefault="0041675F" w:rsidP="004D1DE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Охлаждающая жидкость (тосол)</w:t>
            </w: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нужд филиала ПЭС "Уренгой"</w:t>
            </w:r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7" w:name="_Toc53393312"/>
      <w:bookmarkStart w:id="28" w:name="_Toc193206362"/>
      <w:bookmarkStart w:id="29" w:name="_Toc46743519"/>
      <w:bookmarkStart w:id="3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7"/>
      <w:r w:rsidR="00CE1835">
        <w:rPr>
          <w:lang w:val="ru-RU"/>
        </w:rPr>
        <w:t xml:space="preserve"> на этапе закупки</w:t>
      </w:r>
      <w:bookmarkEnd w:id="28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2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2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bookmarkEnd w:id="29"/>
    <w:bookmarkEnd w:id="30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03AF4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3D5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CB9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2F7A4D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BC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75F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C5B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3AF4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3A9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09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"/>
    <w:uiPriority w:val="59"/>
    <w:rsid w:val="00CA6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"/>
    <w:uiPriority w:val="59"/>
    <w:rsid w:val="00CA6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4070-68C8-4415-B182-F4281C00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8</Pages>
  <Words>687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6047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16</cp:revision>
  <cp:lastPrinted>2006-07-26T14:04:00Z</cp:lastPrinted>
  <dcterms:created xsi:type="dcterms:W3CDTF">2025-01-30T10:37:00Z</dcterms:created>
  <dcterms:modified xsi:type="dcterms:W3CDTF">2026-06-18T09:05:00Z</dcterms:modified>
</cp:coreProperties>
</file>