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right="-1" w:firstLine="567"/>
        <w:jc w:val="center"/>
        <w:rPr>
          <w:b/>
        </w:rPr>
      </w:pPr>
      <w:r>
        <w:rPr>
          <w:b/>
        </w:rPr>
        <w:t>ТЕХНИЧЕСКОЕ ЗАДАНИЕ</w:t>
      </w:r>
    </w:p>
    <w:p>
      <w:pPr>
        <w:pStyle w:val="Normal"/>
        <w:suppressAutoHyphens w:val="true"/>
        <w:spacing w:lineRule="auto" w:line="276"/>
        <w:ind w:right="-1" w:firstLine="567"/>
        <w:jc w:val="center"/>
        <w:rPr>
          <w:rFonts w:eastAsia="Andale Sans UI"/>
          <w:b/>
          <w:kern w:val="2"/>
          <w:lang w:eastAsia="ar-SA"/>
        </w:rPr>
      </w:pPr>
      <w:r>
        <w:rPr>
          <w:b/>
        </w:rPr>
        <w:t>на разработку проектно-сметной документации автоматической установки пожарной сигнализации (АУПС) и системы оповещения и управления (СОУЭ) автоматической пожарной сигнализации при пожаре здания ПС «НПЗ» 110 кВ Городского РЭС СП «ЦЭС», расположенного по адресу: Хабаровский край, г. Хабаровск, ул. Павловская 11.</w:t>
      </w:r>
    </w:p>
    <w:p>
      <w:pPr>
        <w:pStyle w:val="Normal"/>
        <w:tabs>
          <w:tab w:val="clear" w:pos="708"/>
          <w:tab w:val="left" w:pos="9781" w:leader="none"/>
        </w:tabs>
        <w:spacing w:lineRule="auto" w:line="276"/>
        <w:ind w:right="49" w:hanging="0"/>
        <w:jc w:val="center"/>
        <w:rPr>
          <w:spacing w:val="-3"/>
        </w:rPr>
      </w:pPr>
      <w:r>
        <w:rPr>
          <w:spacing w:val="-3"/>
        </w:rPr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jc w:val="center"/>
        <w:rPr>
          <w:rFonts w:eastAsia="WenQuanYi Micro Hei"/>
          <w:b/>
          <w:kern w:val="2"/>
          <w:lang w:eastAsia="en-US"/>
        </w:rPr>
      </w:pPr>
      <w:r>
        <w:rPr>
          <w:rFonts w:eastAsia="WenQuanYi Micro Hei"/>
          <w:b/>
          <w:kern w:val="2"/>
          <w:lang w:eastAsia="en-US"/>
        </w:rPr>
        <w:t>Общие сведения.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b/>
        </w:rPr>
        <w:t xml:space="preserve">Заказчик: </w:t>
      </w:r>
      <w:r>
        <w:rPr>
          <w:b w:val="false"/>
          <w:bCs w:val="false"/>
        </w:rPr>
        <w:t>филиал</w:t>
      </w:r>
      <w:r>
        <w:rPr>
          <w:b/>
        </w:rPr>
        <w:t xml:space="preserve"> </w:t>
      </w:r>
      <w:r>
        <w:rPr>
          <w:b w:val="false"/>
          <w:bCs w:val="false"/>
        </w:rPr>
        <w:t>Акционерное Общество «Дальневосточная распределительная сетевая компания» «Хабаровские электрические сети»</w:t>
      </w:r>
      <w:r>
        <w:rPr/>
        <w:t xml:space="preserve"> (АО «ДРСК» «ХЭС»), (далее Заказчик).</w:t>
      </w:r>
    </w:p>
    <w:p>
      <w:pPr>
        <w:pStyle w:val="Normal"/>
        <w:spacing w:lineRule="auto" w:line="276"/>
        <w:ind w:firstLine="567"/>
        <w:jc w:val="both"/>
        <w:rPr>
          <w:b/>
        </w:rPr>
      </w:pPr>
      <w:r>
        <w:rPr>
          <w:b/>
        </w:rPr>
        <w:t xml:space="preserve">Организация, выполняющая работы по текущему ремонту Объекта </w:t>
      </w:r>
      <w:r>
        <w:rPr/>
        <w:t>(далее Подрядчик) – определяется по результатам осуществления закупки.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b/>
          <w:bCs/>
        </w:rPr>
        <w:t xml:space="preserve">Место выполнения работ: </w:t>
      </w:r>
      <w:r>
        <w:rPr>
          <w:b w:val="false"/>
          <w:bCs w:val="false"/>
        </w:rPr>
        <w:t>Хабаровский край</w:t>
      </w:r>
      <w:r>
        <w:rPr>
          <w:b w:val="false"/>
          <w:bCs w:val="false"/>
          <w:color w:val="22272F"/>
        </w:rPr>
        <w:t>,</w:t>
      </w:r>
      <w:r>
        <w:rPr>
          <w:color w:val="22272F"/>
        </w:rPr>
        <w:t xml:space="preserve"> г. Хабаровск,</w:t>
      </w:r>
      <w:r>
        <w:rPr/>
        <w:t xml:space="preserve"> ул. Павловская 11.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b/>
        </w:rPr>
        <w:t xml:space="preserve">Вид услуг: </w:t>
      </w:r>
      <w:r>
        <w:rPr>
          <w:b w:val="false"/>
          <w:bCs w:val="false"/>
        </w:rPr>
        <w:t>Разработка</w:t>
      </w:r>
      <w:r>
        <w:rPr>
          <w:b w:val="false"/>
          <w:bCs w:val="false"/>
        </w:rPr>
        <w:t xml:space="preserve"> проектно-сметной </w:t>
      </w:r>
      <w:r>
        <w:rPr>
          <w:b w:val="false"/>
          <w:bCs w:val="false"/>
        </w:rPr>
        <w:t xml:space="preserve">документации автоматической </w:t>
      </w:r>
      <w:r>
        <w:rPr>
          <w:b w:val="false"/>
          <w:bCs w:val="false"/>
        </w:rPr>
        <w:t>пожарной сигнализации (АПС) и системы оповещения и управления эвакуацией людей при пожаре (СОУЭ).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b/>
        </w:rPr>
        <w:t xml:space="preserve">Исходные данные для выполнения работ по текущему ремонту объекта: </w:t>
      </w:r>
      <w:r>
        <w:rPr/>
        <w:t>Настоящее Техническое задание. Подрядчик осуществляет сбор исходных данных для выполнения работ. Заказчик предоставляет технический паспорт здания, правоустанавливающие документы на здание (при необходимости).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b/>
        </w:rPr>
        <w:t xml:space="preserve">Сроки начала и окончания работ: </w:t>
      </w:r>
      <w:r>
        <w:rPr/>
        <w:t>Подрядчик обязан выполнить работы в течение 60 (тридцати) календарных дней с момента (даты) заключения договора в объеме и в порядке, установленном Техническим заданием.</w:t>
      </w:r>
    </w:p>
    <w:p>
      <w:pPr>
        <w:pStyle w:val="Normal"/>
        <w:widowControl w:val="false"/>
        <w:tabs>
          <w:tab w:val="clear" w:pos="708"/>
          <w:tab w:val="left" w:pos="7088" w:leader="none"/>
        </w:tabs>
        <w:suppressAutoHyphens w:val="true"/>
        <w:ind w:firstLine="720"/>
        <w:jc w:val="right"/>
        <w:rPr>
          <w:rFonts w:eastAsia="Arial"/>
          <w:lang w:eastAsia="ar-SA"/>
        </w:rPr>
      </w:pPr>
      <w:r>
        <w:rPr>
          <w:rFonts w:eastAsia="Arial"/>
          <w:lang w:eastAsia="ar-SA"/>
        </w:rPr>
      </w:r>
    </w:p>
    <w:tbl>
      <w:tblPr>
        <w:tblStyle w:val="GR1"/>
        <w:tblW w:w="10148" w:type="dxa"/>
        <w:jc w:val="left"/>
        <w:tblInd w:w="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1"/>
        <w:gridCol w:w="2407"/>
        <w:gridCol w:w="7230"/>
      </w:tblGrid>
      <w:tr>
        <w:trPr>
          <w:trHeight w:val="399" w:hRule="atLeast"/>
        </w:trPr>
        <w:tc>
          <w:tcPr>
            <w:tcW w:w="511" w:type="dxa"/>
            <w:tcBorders/>
            <w:vAlign w:val="center"/>
          </w:tcPr>
          <w:p>
            <w:pPr>
              <w:pStyle w:val="3"/>
              <w:widowControl w:val="false"/>
              <w:suppressAutoHyphens w:val="true"/>
              <w:spacing w:before="0" w:after="0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Style w:val="FontStyle12"/>
                <w:kern w:val="0"/>
                <w:sz w:val="24"/>
                <w:szCs w:val="24"/>
                <w:lang w:val="ru-RU" w:eastAsia="en-US" w:bidi="ar-SA"/>
              </w:rPr>
              <w:t>п.п</w:t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3"/>
              <w:widowControl w:val="false"/>
              <w:suppressAutoHyphens w:val="true"/>
              <w:spacing w:before="0" w:after="0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kern w:val="0"/>
                <w:sz w:val="24"/>
                <w:szCs w:val="24"/>
                <w:lang w:val="ru-RU" w:eastAsia="en-US" w:bidi="ar-SA"/>
              </w:rPr>
              <w:t>Перечень основных данных и требований</w:t>
            </w:r>
          </w:p>
        </w:tc>
        <w:tc>
          <w:tcPr>
            <w:tcW w:w="7230" w:type="dxa"/>
            <w:tcBorders/>
            <w:vAlign w:val="center"/>
          </w:tcPr>
          <w:p>
            <w:pPr>
              <w:pStyle w:val="3"/>
              <w:widowControl w:val="false"/>
              <w:suppressAutoHyphens w:val="true"/>
              <w:spacing w:before="0" w:after="0"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kern w:val="0"/>
                <w:sz w:val="24"/>
                <w:szCs w:val="24"/>
                <w:lang w:val="ru-RU" w:eastAsia="en-US" w:bidi="ar-SA"/>
              </w:rPr>
              <w:t>Основные данные и требования</w:t>
            </w:r>
          </w:p>
        </w:tc>
      </w:tr>
      <w:tr>
        <w:trPr>
          <w:trHeight w:val="587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lang w:val="ru-RU" w:eastAsia="en-US" w:bidi="ar-SA"/>
              </w:rPr>
              <w:t>1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kern w:val="0"/>
                <w:lang w:val="ru-RU" w:eastAsia="en-US" w:bidi="ar-SA"/>
              </w:rPr>
              <w:t>Характеристики объекта</w:t>
            </w:r>
          </w:p>
        </w:tc>
        <w:tc>
          <w:tcPr>
            <w:tcW w:w="7230" w:type="dxa"/>
            <w:tcBorders/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841"/>
              <w:gridCol w:w="1172"/>
            </w:tblGrid>
            <w:tr>
              <w:trPr/>
              <w:tc>
                <w:tcPr>
                  <w:tcW w:w="70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 xml:space="preserve">Подстанция 110 кВ «НПЗ» 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58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ЗРУ 6 кВ</w:t>
                  </w:r>
                </w:p>
              </w:tc>
              <w:tc>
                <w:tcPr>
                  <w:tcW w:w="117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632,3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58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ЗРУ 110 кВ</w:t>
                  </w:r>
                </w:p>
              </w:tc>
              <w:tc>
                <w:tcPr>
                  <w:tcW w:w="117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984,4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</w:tr>
      <w:tr>
        <w:trPr>
          <w:trHeight w:val="587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lang w:val="ru-RU" w:eastAsia="en-US" w:bidi="ar-SA"/>
              </w:rPr>
              <w:t>2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kern w:val="0"/>
                <w:lang w:val="ru-RU" w:bidi="ar-SA"/>
              </w:rPr>
              <w:t>Содержание и объемы работ</w:t>
            </w:r>
          </w:p>
        </w:tc>
        <w:tc>
          <w:tcPr>
            <w:tcW w:w="72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  <w:kern w:val="0"/>
                <w:u w:val="single"/>
                <w:lang w:val="en-US" w:bidi="ar-SA"/>
              </w:rPr>
              <w:t>I</w:t>
            </w:r>
            <w:r>
              <w:rPr>
                <w:rFonts w:eastAsia="Calibri"/>
                <w:kern w:val="0"/>
                <w:u w:val="single"/>
                <w:lang w:val="ru-RU" w:bidi="ar-SA"/>
              </w:rPr>
              <w:t xml:space="preserve"> этап работ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Проведение обследования объекта силами Исполнителя совместно с представителями Заказчика (ответственного за эксплуатацию систем пожарной безопасности);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Определение состава существующего оборудования АПС, СОУЭ, подлежащего выводу из эксплуатации и демонтажу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  <w:kern w:val="0"/>
                <w:u w:val="single"/>
                <w:lang w:val="en-US" w:bidi="ar-SA"/>
              </w:rPr>
              <w:t>II</w:t>
            </w:r>
            <w:r>
              <w:rPr>
                <w:rFonts w:eastAsia="Calibri"/>
                <w:kern w:val="0"/>
                <w:u w:val="single"/>
                <w:lang w:val="ru-RU" w:bidi="ar-SA"/>
              </w:rPr>
              <w:t xml:space="preserve"> этап работ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Разработка документации систем АПС, СОУЭ объекта;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При разработке документации следует руководствоваться действующими нормативными документами по строительству, а также ведомственными и прочими документами, предоставляемыми Заказчиком;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Разработка сметной документации;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/>
                <w:kern w:val="0"/>
                <w:lang w:val="ru-RU" w:bidi="ar-SA"/>
              </w:rPr>
              <w:t>- В состав проектно-сметной документации включить раздел по демонтажу оборудования, выводимого из эксплуатации (при наличии).</w:t>
            </w:r>
          </w:p>
        </w:tc>
      </w:tr>
      <w:tr>
        <w:trPr>
          <w:trHeight w:val="587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lang w:val="ru-RU" w:eastAsia="en-US" w:bidi="ar-SA"/>
              </w:rPr>
              <w:t>5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kern w:val="0"/>
                <w:lang w:val="ru-RU" w:bidi="ar-SA"/>
              </w:rPr>
              <w:t>Технические требования к проектируемым системам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Проект должен быть разработан в соответствии с планом и составом помещений, на базе адресной системы «Bolid» В состав АПС и СОУЭ должны входить: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приемно-контрольные приборы;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извещатели пожарные дымовые адресные;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извещатели пожарные ручные адресные;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источники резервного питания.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highlight w:val="yellow"/>
              </w:rPr>
            </w:pPr>
            <w:r>
              <w:rPr>
                <w:rFonts w:eastAsia="Calibri"/>
                <w:kern w:val="0"/>
                <w:lang w:val="ru-RU" w:bidi="ar-SA"/>
              </w:rPr>
              <w:t>- Для прокладки линий связи и питания использовать кабель в соответствии с требованиями ГОСТ 31565-2012;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Приборы для подключения адресных датчиков предусмотреть на базе приборов и программного обеспечения российского производства и в соответствии с текущей нормативной документацией;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Все пожарные извещатели предусмотреть адресными с подключением к приборам контроля по адресной линии;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Для защиты помещений применить автоматические адресные пожарные извещатели дымовые, тепловые, комбинированного типа, пламени – в зависимости от типа пожарной нагрузки. Типы извещателей принимает проектная организация на основании результатов обследования объекта.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Вдоль путей эвакуации предусмотреть установку ручных пожарных извещателей.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При необходимости обеспечить защиту пространства за подвесными потолками  пожарными извещателями.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Обеспечить контроль целостности всех линий связи проектируемых систем автоматической пожарной сигнализации и систем оповещения и управления эвакуацией.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Установку пожарной сигнализации запроектировать с учетом размещения в каждом помещении работы ее по алгоритму «В» в соответствии с требованиями СП 484.1311500.2020.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Обеспечить выдачу сигналов на запуск СОУЭ, при формировании сигнала «Пожар».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 xml:space="preserve">-  Для электропитания оборудования АПС и СОУЭ применять источники резервируемого питания, имеющие функции автоматического контроля электропитания, состояния аккумуляторов и передачи сигналов контроля на прибор контрольный и управления.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Предусмотреть совместную работу АПС с имеющимися инженерными системами на объекте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Разработанные системы, подсистемы АПС, СОУЭ должны быть подключены к существующим системам АПС, СОУЭ здания.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Закладываемое оборудование установок должно иметь срок эксплуатации не менее 10 лет.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Подсистема автоматической пожарной сигнализации должна обеспечивать обнаружение возгорания на ранней стадии, передачу информации о возгорании на пост охраны объекта. В помещение ОДС по адресу г.Хабаровск ул. Промышленная, 13.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Подсистема оповещения о пожаре должна обеспечивать выдачу необходимых световых, звуковых, речевых сигналов при фиксации опасных факторов пожара. При этом должен обеспечиваться контроль целостности линий связи.</w:t>
            </w:r>
          </w:p>
        </w:tc>
      </w:tr>
      <w:tr>
        <w:trPr>
          <w:trHeight w:val="976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lang w:val="ru-RU" w:eastAsia="en-US" w:bidi="ar-SA"/>
              </w:rPr>
              <w:t>6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iCs/>
                <w:lang w:eastAsia="en-US"/>
              </w:rPr>
            </w:pPr>
            <w:r>
              <w:rPr>
                <w:rFonts w:eastAsia="Calibri"/>
                <w:b/>
                <w:kern w:val="0"/>
                <w:lang w:val="ru-RU" w:bidi="ar-SA"/>
              </w:rPr>
              <w:t>Требования к документации</w:t>
            </w:r>
          </w:p>
        </w:tc>
        <w:tc>
          <w:tcPr>
            <w:tcW w:w="72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lang w:val="ru-RU" w:bidi="ar-SA"/>
              </w:rPr>
              <w:t>Документация должна быть представлена в ч</w:t>
            </w:r>
            <w:r>
              <w:rPr>
                <w:kern w:val="0"/>
                <w:lang w:val="ru-RU" w:bidi="ar-SA"/>
              </w:rPr>
              <w:t>етырех экземплярах проектно-сметной документации на бумажной основе в переплетенном виде,</w:t>
            </w:r>
            <w:r>
              <w:rPr>
                <w:b/>
                <w:color w:val="000000"/>
                <w:kern w:val="0"/>
                <w:lang w:val="ru-RU" w:eastAsia="en-US" w:bidi="ar-SA"/>
              </w:rPr>
              <w:t xml:space="preserve"> </w:t>
            </w:r>
            <w:r>
              <w:rPr>
                <w:color w:val="000000"/>
                <w:kern w:val="0"/>
                <w:lang w:val="ru-RU" w:eastAsia="en-US" w:bidi="ar-SA"/>
              </w:rPr>
              <w:t>прошитых и заверенных печатью проектной организации</w:t>
            </w:r>
            <w:r>
              <w:rPr>
                <w:kern w:val="0"/>
                <w:lang w:val="ru-RU" w:bidi="ar-SA"/>
              </w:rPr>
              <w:t xml:space="preserve">, один экземпляр (копия оригинала со всеми согласованиями) на электронном носителе - </w:t>
            </w:r>
            <w:r>
              <w:rPr>
                <w:kern w:val="0"/>
                <w:lang w:val="en-US" w:bidi="ar-SA"/>
              </w:rPr>
              <w:t>CD</w:t>
            </w:r>
            <w:r>
              <w:rPr>
                <w:kern w:val="0"/>
                <w:lang w:val="ru-RU" w:bidi="ar-SA"/>
              </w:rPr>
              <w:t xml:space="preserve">- диске: таблицы в формате </w:t>
            </w:r>
            <w:r>
              <w:rPr>
                <w:kern w:val="0"/>
                <w:lang w:val="en-US" w:bidi="ar-SA"/>
              </w:rPr>
              <w:t>Microsoft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en-US" w:bidi="ar-SA"/>
              </w:rPr>
              <w:t>Excel</w:t>
            </w:r>
            <w:r>
              <w:rPr>
                <w:kern w:val="0"/>
                <w:lang w:val="ru-RU" w:bidi="ar-SA"/>
              </w:rPr>
              <w:t xml:space="preserve">, текстовая часть в формате </w:t>
            </w:r>
            <w:r>
              <w:rPr>
                <w:kern w:val="0"/>
                <w:lang w:val="en-US" w:bidi="ar-SA"/>
              </w:rPr>
              <w:t>Microsoft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en-US" w:bidi="ar-SA"/>
              </w:rPr>
              <w:t>Word</w:t>
            </w:r>
            <w:r>
              <w:rPr>
                <w:kern w:val="0"/>
                <w:lang w:val="ru-RU" w:bidi="ar-SA"/>
              </w:rPr>
              <w:t xml:space="preserve">, чертежи и схемы переведенные в </w:t>
            </w:r>
            <w:r>
              <w:rPr>
                <w:kern w:val="0"/>
                <w:lang w:val="en-US" w:bidi="ar-SA"/>
              </w:rPr>
              <w:t>PDF</w:t>
            </w:r>
            <w:r>
              <w:rPr>
                <w:kern w:val="0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kern w:val="0"/>
                <w:lang w:val="ru-RU" w:bidi="ar-SA"/>
              </w:rPr>
              <w:t>(Электронная версия документации должна быть передана Заказчику с возможностью редактирования. Передача документации в сканированном виде не допускается.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Состав и содержание документации должен соответствовать требованиям статьи 48 Федерального закона от 29 декабря 2004 года за №190-ФЗ и Постановления от 16 февраля 2008 г. №87.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 xml:space="preserve">При оформлении документации учесть требования  ГОСТ Р 21.703-2020 и </w:t>
            </w:r>
            <w:r>
              <w:rPr>
                <w:rFonts w:eastAsia="" w:eastAsiaTheme="minorEastAsia"/>
                <w:kern w:val="0"/>
                <w:lang w:val="ru-RU" w:bidi="ar-SA"/>
              </w:rPr>
              <w:t>ГОСТ</w:t>
            </w:r>
            <w:r>
              <w:rPr>
                <w:rFonts w:eastAsia="Calibri"/>
                <w:kern w:val="0"/>
                <w:lang w:val="ru-RU" w:bidi="ar-SA"/>
              </w:rPr>
              <w:t xml:space="preserve"> Р 21.101-2020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В составе документации обязательны следующие разделы: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Основание для разработки документации;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Краткая характеристика защищаемого объекта;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Описание основных технических решений принятых в проекте;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Спецификация основного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Описание функционирования в целом, с алгоритмом интеграции;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Расчет параметров электропитания и резервирования;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Структурные схемы систем;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Планы размещения оборудования и линий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Схемы внешних соединений;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Схемы подключения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Кабельный журнал;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Подробные спецификации с указанием ЗИП;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" w:firstLine="567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При обнаружении отдельных несоответствий переданной документации техническому заданию, исходно-разрешительной документации, техническим условиям, а также полноты и объема документации, Заказчик передает их Исполнителю в письменном виде. После устранения несоответствий, повторное согласование и утверждение производится в порядке, установленном как для вновь разработанной проектной документации;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/>
                <w:kern w:val="0"/>
                <w:lang w:val="ru-RU" w:bidi="ar-SA"/>
              </w:rPr>
              <w:t>Прием-передача документации между Заказчиком и Исполнителем производится по акту приема-передачи с указанием состава и количества экземпляров документации. При внесении изменений и дополнений в порядке согласования документации Исполнитель оформляет и прикладывает к акту лист регистрации изменений.</w:t>
            </w:r>
          </w:p>
        </w:tc>
      </w:tr>
      <w:tr>
        <w:trPr>
          <w:trHeight w:val="605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lang w:val="ru-RU" w:eastAsia="en-US" w:bidi="ar-SA"/>
              </w:rPr>
              <w:t>7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iCs/>
                <w:kern w:val="0"/>
                <w:lang w:val="ru-RU" w:eastAsia="en-US" w:bidi="ar-SA"/>
              </w:rPr>
              <w:t>Требования к сметной документации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Сметная документация должна быть составлена в Федеральной сметно-нормативной базе (ФСНБ-2020) ценообразования в строительстве, «ГЭСН-2020, ФЕР-2020 (актуальная редакция)» в базовых ценах, в двухуровневой системе ценообразования с пересчетом в текущий уровень цен региона по рекомендуемым индексам Министерства строительства и жилищно-коммунального хозяйства Российской Федерации на квартал, в котором составляется сметная документация.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/>
                <w:kern w:val="0"/>
                <w:lang w:val="ru-RU" w:bidi="ar-SA"/>
              </w:rPr>
              <w:t>Приложить обоснования стоимости материально-технических ресурсов и оборудования. Стоимость материально-технических ресурсов рассчитать по федеральному сборнику сметных цен на материалы, изделия и конструкции, применяемые в строительстве «ГЭСН-2020, ФЕР-2020. ФССЦ (актуальная редакция)». Стоимость материально-технических ресурсов и оборудования, не вошедших в состав сборника, определить на основании сопоставимости рыночных цен идентичных товаров (с предоставлением прайс-листов, либо коммерческих предложений, согласованных с Заказчиком).</w:t>
            </w:r>
          </w:p>
        </w:tc>
      </w:tr>
      <w:tr>
        <w:trPr>
          <w:trHeight w:val="605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lang w:val="ru-RU" w:eastAsia="en-US" w:bidi="ar-SA"/>
              </w:rPr>
              <w:t>8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kern w:val="0"/>
                <w:lang w:val="ru-RU" w:eastAsia="en-US" w:bidi="ar-SA"/>
              </w:rPr>
              <w:t>Нормативные ссылки</w:t>
            </w:r>
          </w:p>
        </w:tc>
        <w:tc>
          <w:tcPr>
            <w:tcW w:w="72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ru-RU" w:eastAsia="en-US" w:bidi="ar-SA"/>
              </w:rPr>
              <w:t>Проектирование выполнить в соответствии с требованиями: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Федеральный закон «Технический регламент о требованиях пожарной безопасности» от 22.07.2008 № 123-ФЗ;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Правила противопожарного режима в Российской Федерации (утв. постановлением Правительства РФ от 16. 09. 2020 г. №1479);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3.13130.2009 «Системы противопожарной защиты. Система оповещения и управления эвакуацией людей при пожаре. Требования пожарной безопасности» приказ МЧС России от 25.03.2009 № 175;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484.1311500.2020 «Системы пожарной сигнализации и автоматизация систем противопожарной защиты» приказ МЧС России от 31.07.2020 № 582;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485.1311500.2020 «Установки пожаротушения автоматические» приказ МЧС России от 31.07.2020 № 582;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486.1311500.2020 «Перечень зданий, сооружений, помещений и оборудования, подлежащих защите автоматическими установками пожаротушения и системами пожарной сигнализации» приказ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rFonts w:eastAsia="Calibri"/>
                <w:kern w:val="0"/>
                <w:lang w:val="ru-RU" w:bidi="ar-SA"/>
              </w:rPr>
              <w:t>МЧС России от 31.07.2020 № 582;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6.13130 "Системы противопожарной защиты. Электроустановки низковольтные. Требования пожарной безопасности"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12.13130.2009 «Определение категорий помещений, зданий и наружных установок по взрывопожарной и пожарной опасности»;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Национальный стандарт РФ ГОСТ Р 12.3.047-2012 «Система стандартов безопасности труда. Пожарная безопасность технологических процессов. Общие требования. Методы контроля»;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Национальный стандарт РФ ГОСТ Р 53325-2012. «Техника пожарная. Технические средства пожарной автоматики. Общие технические требования. Методы испытаний»;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РД 25.964-90 «Система технического обслуживания и ремонта автоматических установок пожаротушения, дымоудаления, пожарной и охранно-пожарной сигнализации. Организация и порядок проведения работ»;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ГОСТ 31817.1.1-2012 (IEC 60839-1-1:1988) "Системы тревожной сигнализации. Часть 1. Общие требования. Раздел 1. Общие положения" (утв. приказом Росстандарта от 22 ноября 2012 г. N 1034-ст)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Постановление Правительства РФ от 1 сентября 2021 г. N 1464 "Об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пожаре"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ГОСТ Р 21.101-2020 "Система проектной документации для строительства. Основные требования к проектной и рабочей документации"4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«ПУЭ» издание 7. Правила устройства электроустановок;</w:t>
            </w:r>
            <w:bookmarkStart w:id="0" w:name="_GoBack"/>
            <w:bookmarkEnd w:id="0"/>
          </w:p>
        </w:tc>
      </w:tr>
    </w:tbl>
    <w:p>
      <w:pPr>
        <w:pStyle w:val="Normal"/>
        <w:widowControl w:val="false"/>
        <w:tabs>
          <w:tab w:val="clear" w:pos="708"/>
          <w:tab w:val="left" w:pos="7088" w:leader="none"/>
        </w:tabs>
        <w:suppressAutoHyphens w:val="true"/>
        <w:ind w:firstLine="720"/>
        <w:rPr>
          <w:rFonts w:eastAsia="Arial"/>
          <w:lang w:eastAsia="ar-SA"/>
        </w:rPr>
      </w:pPr>
      <w:r>
        <w:rPr>
          <w:rFonts w:eastAsia="Arial"/>
          <w:lang w:eastAsia="ar-SA"/>
        </w:rPr>
      </w:r>
    </w:p>
    <w:p>
      <w:pPr>
        <w:pStyle w:val="Normal"/>
        <w:jc w:val="both"/>
        <w:rPr/>
      </w:pPr>
      <w:r>
        <w:rPr/>
        <w:t>При отмене или изменении нормативных документов следует руководствоваться нормами, вводимыми взамен отмененных.</w:t>
      </w:r>
    </w:p>
    <w:p>
      <w:pPr>
        <w:pStyle w:val="Normal"/>
        <w:jc w:val="both"/>
        <w:rPr/>
      </w:pPr>
      <w:r>
        <w:rPr/>
        <w:t>Подрядчик обязан выполнять работы должного качества с соблюдением требований обязательных к применению национальных стандартов и сводов правил, нормативных правовых актов, нормативно-технической и методической документации и иными нормативно-правовыми актами, действующими на территории Российской Федерации, в том числе: Подрядчик при выполнении работ обязан применять актуальные нормативные правовые акты в области проектирования и строительства в Российской Федерации.</w:t>
      </w:r>
    </w:p>
    <w:p>
      <w:pPr>
        <w:pStyle w:val="Normal"/>
        <w:jc w:val="both"/>
        <w:rPr/>
      </w:pPr>
      <w:r>
        <w:rPr/>
        <w:t xml:space="preserve">Работы должны соответствовать требованиям безопасности, установленными действующим законодательством. </w:t>
      </w:r>
    </w:p>
    <w:p>
      <w:pPr>
        <w:pStyle w:val="Normal"/>
        <w:jc w:val="both"/>
        <w:rPr/>
      </w:pPr>
      <w:r>
        <w:rPr/>
        <w:t>Подрядчик обязан не передавать третьим лицам информацию, используемую для выполнения работ и сведения о характере выполняемых работ.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Подрядчик должен предусмотреть использование в  приоритетном порядке оборудования отечественных производителей.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>Приложение : Схема зданий и экспликация к плану строения.</w:t>
      </w:r>
    </w:p>
    <w:sectPr>
      <w:type w:val="nextPage"/>
      <w:pgSz w:w="11906" w:h="16838"/>
      <w:pgMar w:left="1134" w:right="566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0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61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4338c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67618c"/>
    <w:rPr>
      <w:rFonts w:ascii="Times New Roman" w:hAnsi="Times New Roman" w:cs="Times New Roman"/>
      <w:color w:val="0000FF"/>
      <w:u w:val="single"/>
    </w:rPr>
  </w:style>
  <w:style w:type="character" w:styleId="FontStyle29" w:customStyle="1">
    <w:name w:val="Font Style29"/>
    <w:qFormat/>
    <w:rsid w:val="0067618c"/>
    <w:rPr>
      <w:rFonts w:ascii="Times New Roman" w:hAnsi="Times New Roman" w:cs="Times New Roman"/>
      <w:b/>
      <w:bCs/>
      <w:sz w:val="24"/>
      <w:szCs w:val="24"/>
    </w:rPr>
  </w:style>
  <w:style w:type="character" w:styleId="FontStyle11" w:customStyle="1">
    <w:name w:val="Font Style11"/>
    <w:qFormat/>
    <w:rsid w:val="0067618c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qFormat/>
    <w:rsid w:val="0067618c"/>
    <w:rPr>
      <w:rFonts w:ascii="Times New Roman" w:hAnsi="Times New Roman" w:cs="Times New Roman"/>
      <w:b/>
      <w:bCs/>
      <w:sz w:val="20"/>
      <w:szCs w:val="20"/>
    </w:rPr>
  </w:style>
  <w:style w:type="character" w:styleId="FontStyle14" w:customStyle="1">
    <w:name w:val="Font Style14"/>
    <w:qFormat/>
    <w:rsid w:val="0067618c"/>
    <w:rPr>
      <w:rFonts w:ascii="Times New Roman" w:hAnsi="Times New Roman" w:cs="Times New Roman"/>
      <w:sz w:val="22"/>
      <w:szCs w:val="22"/>
    </w:rPr>
  </w:style>
  <w:style w:type="character" w:styleId="FontStyle22" w:customStyle="1">
    <w:name w:val="Font Style22"/>
    <w:qFormat/>
    <w:rsid w:val="0067618c"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qFormat/>
    <w:rsid w:val="0067618c"/>
    <w:rPr>
      <w:rFonts w:ascii="Times New Roman" w:hAnsi="Times New Roman" w:cs="Times New Roman"/>
      <w:i/>
      <w:iCs/>
      <w:sz w:val="22"/>
      <w:szCs w:val="22"/>
    </w:rPr>
  </w:style>
  <w:style w:type="character" w:styleId="Style8" w:customStyle="1">
    <w:name w:val="Основной текст Знак"/>
    <w:basedOn w:val="DefaultParagraphFont"/>
    <w:uiPriority w:val="99"/>
    <w:semiHidden/>
    <w:qFormat/>
    <w:rsid w:val="0067618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c7189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a4338c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ConsPlusNormal" w:customStyle="1">
    <w:name w:val="ConsPlusNormal Знак"/>
    <w:link w:val="ConsPlusNormal1"/>
    <w:qFormat/>
    <w:locked/>
    <w:rsid w:val="0067379e"/>
    <w:rPr>
      <w:rFonts w:ascii="Calibri" w:hAnsi="Calibri" w:eastAsia="Calibri" w:cs="Calibri"/>
      <w:sz w:val="20"/>
      <w:szCs w:val="20"/>
      <w:lang w:eastAsia="ru-RU"/>
    </w:rPr>
  </w:style>
  <w:style w:type="character" w:styleId="HTMLCode">
    <w:name w:val="HTML Code"/>
    <w:qFormat/>
    <w:rsid w:val="0067379e"/>
    <w:rPr>
      <w:rFonts w:ascii="Courier New" w:hAnsi="Courier New" w:eastAsia="Times New Roman" w:cs="Courier New"/>
      <w:b w:val="false"/>
      <w:bCs w:val="false"/>
      <w:strike w:val="false"/>
      <w:dstrike w:val="false"/>
      <w:color w:val="000000"/>
      <w:sz w:val="18"/>
      <w:szCs w:val="18"/>
      <w:u w:val="none"/>
      <w:effect w:val="none"/>
    </w:rPr>
  </w:style>
  <w:style w:type="character" w:styleId="Style9" w:customStyle="1">
    <w:name w:val="Без интервала Знак"/>
    <w:link w:val="NoSpacing"/>
    <w:uiPriority w:val="1"/>
    <w:qFormat/>
    <w:locked/>
    <w:rsid w:val="0067379e"/>
    <w:rPr>
      <w:rFonts w:ascii="Calibri" w:hAnsi="Calibri" w:eastAsia="Calibri" w:cs="Times New Roman"/>
    </w:rPr>
  </w:style>
  <w:style w:type="character" w:styleId="Style10" w:customStyle="1">
    <w:name w:val="Текст сноски Знак"/>
    <w:basedOn w:val="DefaultParagraphFont"/>
    <w:uiPriority w:val="99"/>
    <w:qFormat/>
    <w:rsid w:val="002611f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401acc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536e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11536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11536e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8"/>
    <w:uiPriority w:val="99"/>
    <w:semiHidden/>
    <w:unhideWhenUsed/>
    <w:rsid w:val="0067618c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Style41" w:customStyle="1">
    <w:name w:val="Style4"/>
    <w:basedOn w:val="Normal"/>
    <w:qFormat/>
    <w:rsid w:val="0067618c"/>
    <w:pPr>
      <w:widowControl w:val="false"/>
    </w:pPr>
    <w:rPr/>
  </w:style>
  <w:style w:type="paragraph" w:styleId="Style16" w:customStyle="1">
    <w:name w:val="Style1"/>
    <w:basedOn w:val="Normal"/>
    <w:qFormat/>
    <w:rsid w:val="0067618c"/>
    <w:pPr>
      <w:widowControl w:val="false"/>
      <w:spacing w:lineRule="exact" w:line="252"/>
      <w:jc w:val="both"/>
    </w:pPr>
    <w:rPr>
      <w:lang w:eastAsia="zh-CN"/>
    </w:rPr>
  </w:style>
  <w:style w:type="paragraph" w:styleId="Style21" w:customStyle="1">
    <w:name w:val="Style2"/>
    <w:basedOn w:val="Normal"/>
    <w:qFormat/>
    <w:rsid w:val="0067618c"/>
    <w:pPr>
      <w:widowControl w:val="false"/>
      <w:spacing w:lineRule="exact" w:line="252"/>
    </w:pPr>
    <w:rPr>
      <w:lang w:eastAsia="zh-CN"/>
    </w:rPr>
  </w:style>
  <w:style w:type="paragraph" w:styleId="Style31" w:customStyle="1">
    <w:name w:val="Style3"/>
    <w:basedOn w:val="Normal"/>
    <w:qFormat/>
    <w:rsid w:val="0067618c"/>
    <w:pPr>
      <w:widowControl w:val="false"/>
    </w:pPr>
    <w:rPr>
      <w:lang w:eastAsia="zh-CN"/>
    </w:rPr>
  </w:style>
  <w:style w:type="paragraph" w:styleId="11" w:customStyle="1">
    <w:name w:val="Заголовок1"/>
    <w:basedOn w:val="Normal"/>
    <w:next w:val="BodyText"/>
    <w:qFormat/>
    <w:rsid w:val="0067618c"/>
    <w:pPr>
      <w:spacing w:lineRule="auto" w:line="276" w:before="0" w:after="200"/>
      <w:ind w:firstLine="426"/>
      <w:jc w:val="center"/>
    </w:pPr>
    <w:rPr>
      <w:rFonts w:ascii="Arial" w:hAnsi="Arial" w:cs="Arial"/>
      <w:b/>
      <w:sz w:val="22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52b14"/>
    <w:pPr>
      <w:spacing w:before="0" w:after="0"/>
      <w:ind w:left="720" w:hanging="0"/>
      <w:contextualSpacing/>
    </w:pPr>
    <w:rPr/>
  </w:style>
  <w:style w:type="paragraph" w:styleId="NoSpacing">
    <w:name w:val="No Spacing"/>
    <w:link w:val="Style9"/>
    <w:uiPriority w:val="1"/>
    <w:qFormat/>
    <w:rsid w:val="008c718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qFormat/>
    <w:rsid w:val="008c718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Iauiue" w:customStyle="1">
    <w:name w:val="Iau?iue"/>
    <w:qFormat/>
    <w:rsid w:val="005978c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.FORMATTEXT"/>
    <w:uiPriority w:val="99"/>
    <w:qFormat/>
    <w:rsid w:val="00a4338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67379e"/>
    <w:pPr>
      <w:widowControl/>
      <w:suppressAutoHyphens w:val="true"/>
      <w:bidi w:val="0"/>
      <w:spacing w:lineRule="auto" w:line="240" w:before="0" w:after="0"/>
      <w:jc w:val="both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3" w:customStyle="1">
    <w:name w:val="Без интервала3"/>
    <w:qFormat/>
    <w:rsid w:val="00ca596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Style10"/>
    <w:uiPriority w:val="99"/>
    <w:qFormat/>
    <w:rsid w:val="002611f7"/>
    <w:pPr>
      <w:spacing w:before="0" w:after="60"/>
      <w:jc w:val="both"/>
    </w:pPr>
    <w:rPr>
      <w:sz w:val="20"/>
      <w:szCs w:val="20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401acc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11536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11536e"/>
    <w:pPr/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205206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1">
    <w:name w:val="Сетка таблицы GR1"/>
    <w:basedOn w:val="a1"/>
    <w:uiPriority w:val="39"/>
    <w:rsid w:val="00205206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1CFC-B5E1-4AD4-8B52-DBF93BF0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AlterOffice/3.4.0.6$Linux_X86_64 LibreOffice_project/ad8c41dce69105450bf791d4900d64b1f82e10d0</Application>
  <AppVersion>15.0000</AppVersion>
  <Pages>5</Pages>
  <Words>1375</Words>
  <Characters>10028</Characters>
  <CharactersWithSpaces>11301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2023-06-20T10:45:00Z</dcterms:created>
  <dc:creator>USER-OK</dc:creator>
  <dc:description/>
  <dc:language>ru-RU</dc:language>
  <cp:lastModifiedBy>kuznetsov_ss</cp:lastModifiedBy>
  <cp:lastPrinted>2023-06-20T10:44:00Z</cp:lastPrinted>
  <dcterms:modified xsi:type="dcterms:W3CDTF">2026-06-24T11:16:29Z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