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bCs/>
          <w:sz w:val="24"/>
          <w:szCs w:val="24"/>
        </w:rPr>
      </w:pPr>
      <w:r>
        <w:rPr>
          <w:b/>
          <w:bCs/>
          <w:sz w:val="24"/>
          <w:szCs w:val="24"/>
        </w:rPr>
        <w:t>ПРОЕКТ ДОГОВОРА</w:t>
      </w:r>
    </w:p>
    <w:p>
      <w:pPr>
        <w:pStyle w:val="Normal"/>
        <w:widowControl/>
        <w:jc w:val="center"/>
        <w:rPr>
          <w:b/>
          <w:bCs/>
          <w:sz w:val="24"/>
          <w:szCs w:val="24"/>
        </w:rPr>
      </w:pPr>
      <w:r>
        <w:rPr>
          <w:rFonts w:ascii="Times New Roman;serif" w:hAnsi="Times New Roman;serif"/>
          <w:b/>
          <w:bCs/>
          <w:color w:val="000000"/>
          <w:sz w:val="24"/>
          <w:szCs w:val="24"/>
          <w:shd w:fill="auto" w:val="clear"/>
        </w:rPr>
        <w:t xml:space="preserve">Поставка </w:t>
      </w:r>
      <w:r>
        <w:rPr>
          <w:rFonts w:ascii="Times New Roman;serif" w:hAnsi="Times New Roman;serif"/>
          <w:b/>
          <w:bCs/>
          <w:color w:val="000000"/>
          <w:sz w:val="24"/>
          <w:szCs w:val="24"/>
          <w:shd w:fill="auto" w:val="clear"/>
        </w:rPr>
        <w:t>теплоизоляции</w:t>
      </w:r>
      <w:r>
        <w:rPr>
          <w:b/>
          <w:bCs/>
          <w:sz w:val="24"/>
          <w:szCs w:val="24"/>
        </w:rPr>
        <w:t xml:space="preserve"> для филиала ПАО "РусГидро"-"Зейская </w:t>
      </w:r>
      <w:r>
        <w:rPr>
          <w:b/>
          <w:bCs/>
          <w:sz w:val="24"/>
          <w:szCs w:val="24"/>
        </w:rPr>
        <w:t>ГЭС"</w:t>
      </w:r>
    </w:p>
    <w:p>
      <w:pPr>
        <w:pStyle w:val="Normal"/>
        <w:shd w:val="clear" w:color="auto" w:fill="FFFFFF"/>
        <w:tabs>
          <w:tab w:val="clear" w:pos="709"/>
          <w:tab w:val="left" w:pos="6926" w:leader="none"/>
        </w:tabs>
        <w:jc w:val="center"/>
        <w:rPr>
          <w:b/>
          <w:sz w:val="24"/>
          <w:szCs w:val="24"/>
        </w:rPr>
      </w:pPr>
      <w:r>
        <w:rPr>
          <w:b/>
          <w:sz w:val="24"/>
          <w:szCs w:val="24"/>
        </w:rPr>
      </w:r>
    </w:p>
    <w:p>
      <w:pPr>
        <w:pStyle w:val="Normal"/>
        <w:shd w:val="clear" w:color="auto" w:fill="FFFFFF"/>
        <w:tabs>
          <w:tab w:val="clear" w:pos="709"/>
          <w:tab w:val="left" w:pos="6926" w:leader="none"/>
        </w:tabs>
        <w:jc w:val="center"/>
        <w:rPr>
          <w:b/>
          <w:sz w:val="24"/>
          <w:szCs w:val="24"/>
        </w:rPr>
      </w:pPr>
      <w:r>
        <w:rPr>
          <w:b/>
          <w:sz w:val="24"/>
          <w:szCs w:val="24"/>
        </w:rPr>
      </w:r>
    </w:p>
    <w:p>
      <w:pPr>
        <w:pStyle w:val="Normal"/>
        <w:shd w:val="clear" w:color="auto" w:fill="FFFFFF"/>
        <w:tabs>
          <w:tab w:val="clear" w:pos="709"/>
          <w:tab w:val="left" w:pos="6926" w:leader="none"/>
        </w:tabs>
        <w:jc w:val="center"/>
        <w:rPr>
          <w:b/>
          <w:sz w:val="24"/>
          <w:szCs w:val="24"/>
        </w:rPr>
      </w:pPr>
      <w:r>
        <w:rPr>
          <w:b/>
          <w:sz w:val="24"/>
          <w:szCs w:val="24"/>
        </w:rPr>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Зея</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z w:val="24"/>
          <w:szCs w:val="24"/>
        </w:rPr>
      </w:pPr>
      <w:r>
        <w:rPr>
          <w:b/>
          <w:sz w:val="24"/>
          <w:szCs w:val="24"/>
        </w:rPr>
        <w:t xml:space="preserve">Публичное акционерное общество «Федеральная гидрогенерирующая </w:t>
        <w:br/>
        <w:t xml:space="preserve">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xml:space="preserve">, действующего на основании ________, с одной стороны, </w:t>
        <w:br/>
        <w:t>и</w:t>
      </w:r>
      <w:r>
        <w:rPr>
          <w:spacing w:val="10"/>
          <w:sz w:val="24"/>
          <w:szCs w:val="24"/>
        </w:rPr>
        <w:t xml:space="preserve"> </w:t>
      </w: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pacing w:val="10"/>
          <w:sz w:val="24"/>
          <w:szCs w:val="24"/>
        </w:rPr>
      </w:pPr>
      <w:r>
        <w:rPr>
          <w:sz w:val="24"/>
          <w:szCs w:val="24"/>
        </w:rPr>
        <w:t xml:space="preserve">совместно в дальнейшем именуемые «Стороны», а по отдельности – «Сторона», </w:t>
        <w:br/>
      </w:r>
      <w:r>
        <w:rPr>
          <w:sz w:val="24"/>
          <w:szCs w:val="24"/>
          <w:shd w:fill="auto" w:val="clear"/>
          <w:lang w:eastAsia="en-US"/>
        </w:rPr>
        <w:t xml:space="preserve">по результатам проведенной Покупателем закупочной процедуры по лоту № ____________ и на основании протокола __________ от «___» _________ г. №_______, </w:t>
      </w:r>
      <w:r>
        <w:rPr>
          <w:sz w:val="24"/>
          <w:szCs w:val="24"/>
          <w:shd w:fill="auto" w:val="clear"/>
        </w:rPr>
        <w:t>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 xml:space="preserve">Термины и определения, приведенные в настоящем разделе, предназначены </w:t>
        <w:br/>
        <w:t>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w:t>
        <w:br/>
        <w:t>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9"/>
          <w:tab w:val="left" w:pos="567" w:leader="none"/>
          <w:tab w:val="left" w:pos="1134" w:leader="none"/>
        </w:tabs>
        <w:overflowPunct w:val="fals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 xml:space="preserve">от 25.12.1998 № 132, подписываемый Сторонами после завершения приемки Товара </w:t>
        <w:br/>
        <w:t>по количеству, качеству и комплектности.</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«Проектная документация»</w:t>
      </w:r>
      <w:r>
        <w:rPr>
          <w:sz w:val="24"/>
          <w:szCs w:val="24"/>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Normal"/>
        <w:ind w:firstLine="709"/>
        <w:jc w:val="both"/>
        <w:rPr>
          <w:sz w:val="24"/>
          <w:szCs w:val="24"/>
          <w:lang w:eastAsia="en-US"/>
        </w:rPr>
      </w:pPr>
      <w:r>
        <w:rPr>
          <w:sz w:val="24"/>
          <w:szCs w:val="24"/>
          <w:lang w:eastAsia="en-US"/>
        </w:rPr>
        <w:t xml:space="preserve">Состав разделов Проектной документации определяется Применимым правом. </w:t>
      </w:r>
    </w:p>
    <w:p>
      <w:pPr>
        <w:pStyle w:val="Normal"/>
        <w:ind w:firstLine="709"/>
        <w:jc w:val="both"/>
        <w:rPr>
          <w:b/>
          <w:sz w:val="24"/>
          <w:szCs w:val="24"/>
          <w:lang w:eastAsia="en-US"/>
        </w:rPr>
      </w:pPr>
      <w:r>
        <w:rPr>
          <w:sz w:val="24"/>
          <w:szCs w:val="24"/>
          <w:lang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Покупателя.</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widowControl w:val="false"/>
        <w:tabs>
          <w:tab w:val="clear" w:pos="709"/>
          <w:tab w:val="left" w:pos="567" w:leader="none"/>
        </w:tabs>
        <w:overflowPunct w:val="false"/>
        <w:spacing w:before="0" w:after="0"/>
        <w:ind w:firstLine="708"/>
        <w:jc w:val="both"/>
        <w:textAlignment w:val="baseline"/>
        <w:rPr>
          <w:highlight w:val="none"/>
          <w:shd w:fill="auto" w:val="clear"/>
        </w:rPr>
      </w:pPr>
      <w:r>
        <w:rPr>
          <w:rFonts w:eastAsia="Times New Roman" w:cs="Times New Roman" w:ascii="Times New Roman" w:hAnsi="Times New Roman"/>
          <w:b/>
          <w:color w:val="000000"/>
          <w:kern w:val="0"/>
          <w:sz w:val="24"/>
          <w:szCs w:val="24"/>
          <w:shd w:fill="auto" w:val="clear"/>
          <w:lang w:val="ru-RU" w:eastAsia="en-US" w:bidi="ar-SA"/>
        </w:rPr>
        <w:t xml:space="preserve">«Универсальный передаточный документ», «УПД» </w:t>
      </w:r>
      <w:r>
        <w:rPr>
          <w:rFonts w:eastAsia="Times New Roman" w:cs="Times New Roman" w:ascii="Times New Roman" w:hAnsi="Times New Roman"/>
          <w:b w:val="false"/>
          <w:color w:val="000000"/>
          <w:kern w:val="0"/>
          <w:sz w:val="24"/>
          <w:szCs w:val="24"/>
          <w:shd w:fill="auto" w:val="clear"/>
          <w:lang w:val="ru-RU" w:eastAsia="en-US" w:bidi="ar-SA"/>
        </w:rPr>
        <w:t>–</w:t>
      </w:r>
      <w:r>
        <w:rPr>
          <w:rFonts w:eastAsia="Times New Roman" w:cs="Times New Roman" w:ascii="Times New Roman" w:hAnsi="Times New Roman"/>
          <w:b/>
          <w:color w:val="000000"/>
          <w:kern w:val="0"/>
          <w:sz w:val="24"/>
          <w:szCs w:val="24"/>
          <w:shd w:fill="auto" w:val="clear"/>
          <w:lang w:val="ru-RU" w:eastAsia="en-US" w:bidi="ar-SA"/>
        </w:rPr>
        <w:t xml:space="preserve"> </w:t>
      </w:r>
      <w:r>
        <w:rPr>
          <w:rFonts w:eastAsia="Times New Roman" w:cs="Times New Roman" w:ascii="Times New Roman" w:hAnsi="Times New Roman"/>
          <w:b w:val="false"/>
          <w:color w:val="000000"/>
          <w:kern w:val="0"/>
          <w:sz w:val="24"/>
          <w:szCs w:val="24"/>
          <w:shd w:fill="auto" w:val="clear"/>
          <w:lang w:val="ru-RU" w:eastAsia="en-US" w:bidi="ar-SA"/>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r>
        <w:rPr>
          <w:rFonts w:eastAsia="Times New Roman" w:cs="Times New Roman" w:ascii="Times New Roman" w:hAnsi="Times New Roman"/>
          <w:b w:val="false"/>
          <w:bCs w:val="false"/>
          <w:color w:val="000000"/>
          <w:kern w:val="0"/>
          <w:sz w:val="24"/>
          <w:szCs w:val="24"/>
          <w:shd w:fill="auto" w:val="clear"/>
          <w:lang w:val="ru-RU" w:eastAsia="en-US" w:bidi="ar-SA"/>
        </w:rPr>
        <w:t>.</w:t>
      </w:r>
    </w:p>
    <w:p>
      <w:pPr>
        <w:pStyle w:val="Heading3"/>
        <w:tabs>
          <w:tab w:val="clear" w:pos="709"/>
          <w:tab w:val="left" w:pos="0" w:leader="none"/>
        </w:tabs>
        <w:overflowPunct w:val="fals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w:t>
        <w:br/>
        <w:t xml:space="preserve">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highlight w:val="none"/>
          <w:shd w:fill="auto" w:val="clear"/>
        </w:rPr>
      </w:pPr>
      <w:r>
        <w:rPr>
          <w:bCs/>
          <w:sz w:val="24"/>
          <w:szCs w:val="24"/>
          <w:shd w:fill="auto" w:val="clear"/>
        </w:rPr>
      </w:r>
    </w:p>
    <w:p>
      <w:pPr>
        <w:pStyle w:val="Normal"/>
        <w:numPr>
          <w:ilvl w:val="0"/>
          <w:numId w:val="2"/>
        </w:numPr>
        <w:shd w:val="clear" w:color="auto" w:fill="FFFFFF"/>
        <w:tabs>
          <w:tab w:val="clear" w:pos="709"/>
          <w:tab w:val="left" w:pos="284" w:leader="none"/>
        </w:tabs>
        <w:ind w:left="0" w:hanging="0"/>
        <w:jc w:val="center"/>
        <w:rPr>
          <w:highlight w:val="none"/>
          <w:shd w:fill="auto" w:val="clear"/>
        </w:rPr>
      </w:pPr>
      <w:r>
        <w:rPr>
          <w:b/>
          <w:bCs/>
          <w:sz w:val="24"/>
          <w:szCs w:val="24"/>
          <w:shd w:fill="auto" w:val="clear"/>
        </w:rPr>
        <w:t>Предмет Договора</w:t>
      </w:r>
    </w:p>
    <w:p>
      <w:pPr>
        <w:pStyle w:val="Normal"/>
        <w:numPr>
          <w:ilvl w:val="1"/>
          <w:numId w:val="2"/>
        </w:numPr>
        <w:shd w:val="clear" w:color="auto" w:fill="FFFFFF"/>
        <w:tabs>
          <w:tab w:val="clear" w:pos="709"/>
          <w:tab w:val="left" w:pos="1134" w:leader="none"/>
        </w:tabs>
        <w:ind w:left="0" w:firstLine="709"/>
        <w:jc w:val="both"/>
        <w:rPr>
          <w:highlight w:val="none"/>
          <w:shd w:fill="auto" w:val="clear"/>
        </w:rPr>
      </w:pPr>
      <w:r>
        <w:rPr>
          <w:bCs/>
          <w:sz w:val="24"/>
          <w:szCs w:val="24"/>
          <w:shd w:fill="auto" w:val="clear"/>
        </w:rPr>
        <w:t xml:space="preserve">Поставщик обязуется в порядке и сроки, установленные Договором, передать </w:t>
        <w:br/>
        <w:t>в собственность Покупателю</w:t>
      </w:r>
      <w:r>
        <w:rPr>
          <w:rFonts w:eastAsia="Calibri"/>
          <w:bCs/>
          <w:sz w:val="24"/>
          <w:szCs w:val="24"/>
          <w:shd w:fill="auto" w:val="clear"/>
          <w:lang w:eastAsia="en-US"/>
        </w:rPr>
        <w:t xml:space="preserve"> </w:t>
      </w:r>
      <w:r>
        <w:rPr>
          <w:rFonts w:eastAsia="Calibri"/>
          <w:b/>
          <w:bCs/>
          <w:i w:val="false"/>
          <w:iCs w:val="false"/>
          <w:sz w:val="24"/>
          <w:szCs w:val="24"/>
          <w:shd w:fill="auto" w:val="clear"/>
          <w:lang w:eastAsia="en-US"/>
        </w:rPr>
        <w:t>теплоизоляцию</w:t>
      </w:r>
      <w:r>
        <w:rPr>
          <w:bCs/>
          <w:sz w:val="24"/>
          <w:szCs w:val="24"/>
          <w:shd w:fill="auto" w:val="clear"/>
        </w:rPr>
        <w:t xml:space="preserve"> (далее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highlight w:val="none"/>
          <w:shd w:fill="auto" w:val="clear"/>
        </w:rPr>
      </w:pPr>
      <w:r>
        <w:rPr>
          <w:bCs/>
          <w:sz w:val="24"/>
          <w:szCs w:val="24"/>
          <w:shd w:fill="auto" w:val="clear"/>
        </w:rPr>
        <w:t>Поставка Товара по Договору осуществляется для нужд филиала ПАО «РусГидро»-«Зейская ГЭС».</w:t>
      </w:r>
    </w:p>
    <w:p>
      <w:pPr>
        <w:pStyle w:val="Normal"/>
        <w:numPr>
          <w:ilvl w:val="1"/>
          <w:numId w:val="2"/>
        </w:numPr>
        <w:shd w:val="clear" w:color="auto" w:fill="FFFFFF"/>
        <w:tabs>
          <w:tab w:val="clear" w:pos="709"/>
          <w:tab w:val="left" w:pos="0" w:leader="none"/>
          <w:tab w:val="left" w:pos="1134" w:leader="none"/>
        </w:tabs>
        <w:ind w:left="0" w:firstLine="709"/>
        <w:jc w:val="both"/>
        <w:rPr>
          <w:highlight w:val="none"/>
          <w:shd w:fill="auto" w:val="clear"/>
        </w:rPr>
      </w:pPr>
      <w:r>
        <w:rPr>
          <w:bCs/>
          <w:sz w:val="24"/>
          <w:szCs w:val="24"/>
          <w:shd w:fill="auto" w:val="clear"/>
        </w:rPr>
        <w:t>Место поставки Товара: 676244, Амурская область, г. Зея, склад филиала ПАО «РусГидро»-«Зейская ГЭС»</w:t>
      </w:r>
      <w:r>
        <w:rPr>
          <w:sz w:val="24"/>
          <w:szCs w:val="24"/>
          <w:shd w:fill="auto" w:val="clear"/>
        </w:rPr>
        <w:t xml:space="preserve">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highlight w:val="none"/>
          <w:shd w:fill="auto" w:val="clear"/>
        </w:rPr>
      </w:pPr>
      <w:r>
        <w:rPr>
          <w:bCs/>
          <w:sz w:val="24"/>
          <w:szCs w:val="24"/>
          <w:shd w:fill="auto" w:val="clear"/>
        </w:rPr>
        <w:t>Срок поставки Товара: «</w:t>
      </w:r>
      <w:r>
        <w:rPr>
          <w:bCs/>
          <w:sz w:val="24"/>
          <w:szCs w:val="24"/>
          <w:shd w:fill="auto" w:val="clear"/>
        </w:rPr>
        <w:t>25</w:t>
      </w:r>
      <w:r>
        <w:rPr>
          <w:bCs/>
          <w:sz w:val="24"/>
          <w:szCs w:val="24"/>
          <w:shd w:fill="auto" w:val="clear"/>
        </w:rPr>
        <w:t>» мая 2027 г.</w:t>
      </w:r>
    </w:p>
    <w:p>
      <w:pPr>
        <w:pStyle w:val="Normal"/>
        <w:shd w:val="clear" w:color="auto" w:fill="FFFFFF"/>
        <w:tabs>
          <w:tab w:val="clear" w:pos="709"/>
          <w:tab w:val="left" w:pos="540" w:leader="none"/>
        </w:tabs>
        <w:ind w:left="1134" w:hanging="0"/>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w:t>
      </w:r>
      <w:r>
        <w:rPr>
          <w:bCs/>
          <w:sz w:val="24"/>
          <w:szCs w:val="24"/>
          <w:shd w:fill="auto" w:val="clear"/>
        </w:rPr>
        <w:t xml:space="preserve">твердой и составляет </w:t>
      </w:r>
      <w:r>
        <w:rPr>
          <w:sz w:val="24"/>
          <w:szCs w:val="24"/>
          <w:shd w:fill="auto" w:val="clear"/>
        </w:rPr>
        <w:t>_______</w:t>
      </w:r>
      <w:r>
        <w:rPr>
          <w:bCs/>
          <w:sz w:val="24"/>
          <w:szCs w:val="24"/>
          <w:shd w:fill="auto" w:val="clear"/>
        </w:rPr>
        <w:t xml:space="preserve"> (</w:t>
      </w:r>
      <w:r>
        <w:rPr>
          <w:sz w:val="24"/>
          <w:szCs w:val="24"/>
          <w:shd w:fill="auto" w:val="clear"/>
        </w:rPr>
        <w:t>__________________</w:t>
      </w:r>
      <w:r>
        <w:rPr>
          <w:bCs/>
          <w:sz w:val="24"/>
          <w:szCs w:val="24"/>
          <w:shd w:fill="auto" w:val="clear"/>
        </w:rPr>
        <w:t xml:space="preserve">) рублей </w:t>
      </w:r>
      <w:r>
        <w:rPr>
          <w:sz w:val="24"/>
          <w:szCs w:val="24"/>
          <w:shd w:fill="auto" w:val="clear"/>
        </w:rPr>
        <w:t>___</w:t>
      </w:r>
      <w:r>
        <w:rPr>
          <w:bCs/>
          <w:sz w:val="24"/>
          <w:szCs w:val="24"/>
          <w:shd w:fill="auto" w:val="clear"/>
        </w:rPr>
        <w:t xml:space="preserve"> </w:t>
      </w:r>
      <w:r>
        <w:rPr>
          <w:bCs/>
          <w:sz w:val="24"/>
          <w:szCs w:val="24"/>
        </w:rPr>
        <w:t>копеек без учета НДС, при этом НДС исчисляется дополнительно по ставке, установленной ст. 164 Налогового кодекса Российской Федерации.</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w:t>
        <w:br/>
        <w:t xml:space="preserve">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2"/>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w:t>
        <w:br/>
        <w:t xml:space="preserve">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w:t>
        <w:br/>
        <w:t xml:space="preserve">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Авансовый платеж за Товар в размере 30 % (тридцати процентов) от стоимости Товара без учёта НДС, кроме того НДС по ставке, установленной статьёй 164 НК РФ на дату выплаты авансового платежа, выплачивается Поставщику в течение 15 (пятнадцати) календарных дней с даты заключения Договора, при условии получения Покупателем счета, выставленного Поставщиком,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Последующие платежи в размере разницы между стоимостью Товара без учета НДС, кроме того НДС по ставке, установленной статьей 164 НК РФ на дату подписания Сторонами накладной ТОРГ-12/УПД, и суммой ранее уплаченного авансового платежа, выплачиваются Поставщику в течение 7 (семи)/20(двадцати) рабочих дней с даты подписания Сторонами накладной ТОРГ-12/УПД, на основании счета, выставленного Поставщиком,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0"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w:t>
        <w:br/>
        <w:t xml:space="preserve">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2.5.1 Договора, в установленный срок и при этом не приступил к исполнению обязательств по Договору.</w:t>
      </w:r>
      <w:bookmarkEnd w:id="0"/>
      <w:r>
        <w:rPr>
          <w:bCs/>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представить Покупателю счета-фактуры/УПД,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w:t>
        <w:br/>
        <w:t>5 (пяти) рабочих дней с даты получения экземпляров актов сверки расчетов от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 w:val="left" w:pos="1276"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xml:space="preserve">, в том числе (включая, но не ограничиваясь), суммы неотработанного аванса по Договору, суммы неустоек (пени, штрафы) </w:t>
        <w:br/>
        <w:t>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ind w:firstLine="709"/>
        <w:jc w:val="both"/>
        <w:rPr>
          <w:sz w:val="24"/>
          <w:szCs w:val="24"/>
        </w:rPr>
      </w:pPr>
      <w:r>
        <w:rPr>
          <w:sz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Качество, комплектность, количество и ассортимент поставляемого по Договору Товара должны соответствовать Проектной </w:t>
      </w:r>
      <w:r>
        <w:rPr>
          <w:sz w:val="24"/>
          <w:szCs w:val="24"/>
        </w:rPr>
        <w:t>документации</w:t>
      </w:r>
      <w:r>
        <w:rPr>
          <w:bCs/>
          <w:sz w:val="24"/>
          <w:szCs w:val="24"/>
        </w:rPr>
        <w:t>, требованиям Договора и Покупателя,</w:t>
      </w:r>
      <w:r>
        <w:rPr>
          <w:b/>
          <w:bCs/>
          <w:sz w:val="24"/>
          <w:szCs w:val="24"/>
        </w:rPr>
        <w:t xml:space="preserve"> </w:t>
      </w:r>
      <w:r>
        <w:rPr>
          <w:bCs/>
          <w:sz w:val="24"/>
          <w:szCs w:val="24"/>
        </w:rPr>
        <w:t xml:space="preserve">в том числе указанным в Спецификации (Приложение № 1 к Договору), </w:t>
        <w:br/>
        <w:t>а также Применимого права.</w:t>
      </w:r>
    </w:p>
    <w:p>
      <w:pPr>
        <w:pStyle w:val="ListParagraph"/>
        <w:widowControl/>
        <w:shd w:val="clear" w:color="auto" w:fill="FFFFFF"/>
        <w:tabs>
          <w:tab w:val="clear" w:pos="709"/>
          <w:tab w:val="left" w:pos="1276" w:leader="none"/>
        </w:tabs>
        <w:ind w:left="0" w:firstLine="709"/>
        <w:jc w:val="both"/>
        <w:rPr>
          <w:bCs/>
          <w:sz w:val="24"/>
          <w:szCs w:val="24"/>
        </w:rPr>
      </w:pPr>
      <w:r>
        <w:rPr>
          <w:bCs/>
          <w:sz w:val="24"/>
          <w:szCs w:val="24"/>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Поставляемый</w:t>
      </w:r>
      <w:r>
        <w:rPr>
          <w:bCs/>
          <w:sz w:val="24"/>
          <w:szCs w:val="24"/>
        </w:rPr>
        <w:t xml:space="preserve">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w:t>
        <w:br/>
        <w:t>и не обременен правами третьих лиц.</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Одновременно</w:t>
      </w:r>
      <w:r>
        <w:rPr>
          <w:bCs/>
          <w:sz w:val="24"/>
          <w:szCs w:val="24"/>
        </w:rPr>
        <w:t xml:space="preserve">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сертификат качества в</w:t>
      </w:r>
      <w:r>
        <w:rPr>
          <w:sz w:val="24"/>
          <w:szCs w:val="24"/>
          <w:shd w:fill="auto" w:val="clear"/>
        </w:rPr>
        <w:t xml:space="preserve"> __(____) экз.;</w:t>
      </w:r>
    </w:p>
    <w:p>
      <w:pPr>
        <w:pStyle w:val="Normal"/>
        <w:numPr>
          <w:ilvl w:val="0"/>
          <w:numId w:val="4"/>
        </w:numPr>
        <w:tabs>
          <w:tab w:val="clear" w:pos="709"/>
          <w:tab w:val="left" w:pos="1418" w:leader="none"/>
        </w:tabs>
        <w:ind w:left="0" w:firstLine="709"/>
        <w:jc w:val="both"/>
        <w:rPr>
          <w:highlight w:val="none"/>
          <w:shd w:fill="auto" w:val="clear"/>
        </w:rPr>
      </w:pPr>
      <w:r>
        <w:rPr>
          <w:sz w:val="24"/>
          <w:szCs w:val="24"/>
          <w:shd w:fill="auto" w:val="clear"/>
        </w:rPr>
        <w:t>технический паспорт на русском языке в __(____) экз.;</w:t>
      </w:r>
    </w:p>
    <w:p>
      <w:pPr>
        <w:pStyle w:val="Normal"/>
        <w:numPr>
          <w:ilvl w:val="0"/>
          <w:numId w:val="4"/>
        </w:numPr>
        <w:tabs>
          <w:tab w:val="clear" w:pos="709"/>
          <w:tab w:val="left" w:pos="1418" w:leader="none"/>
        </w:tabs>
        <w:ind w:left="0" w:firstLine="709"/>
        <w:jc w:val="both"/>
        <w:rPr>
          <w:highlight w:val="none"/>
          <w:shd w:fill="auto" w:val="clear"/>
        </w:rPr>
      </w:pPr>
      <w:r>
        <w:rPr>
          <w:sz w:val="24"/>
          <w:szCs w:val="24"/>
          <w:shd w:fill="auto" w:val="clear"/>
        </w:rPr>
        <w:t>инструкция по эксплуатации на русском языке в __(____) экз.;</w:t>
      </w:r>
    </w:p>
    <w:p>
      <w:pPr>
        <w:pStyle w:val="Normal"/>
        <w:numPr>
          <w:ilvl w:val="0"/>
          <w:numId w:val="4"/>
        </w:numPr>
        <w:tabs>
          <w:tab w:val="clear" w:pos="709"/>
          <w:tab w:val="left" w:pos="1418" w:leader="none"/>
        </w:tabs>
        <w:ind w:left="0" w:firstLine="709"/>
        <w:jc w:val="both"/>
        <w:rPr>
          <w:highlight w:val="none"/>
          <w:shd w:fill="auto" w:val="clear"/>
        </w:rPr>
      </w:pPr>
      <w:r>
        <w:rPr>
          <w:sz w:val="24"/>
          <w:szCs w:val="24"/>
          <w:shd w:fill="auto" w:val="clear"/>
        </w:rPr>
        <w:t>упаковочный лист в __(____) экз.;</w:t>
      </w:r>
    </w:p>
    <w:p>
      <w:pPr>
        <w:pStyle w:val="Normal"/>
        <w:numPr>
          <w:ilvl w:val="0"/>
          <w:numId w:val="3"/>
        </w:numPr>
        <w:tabs>
          <w:tab w:val="clear" w:pos="709"/>
          <w:tab w:val="left" w:pos="1418" w:leader="none"/>
        </w:tabs>
        <w:ind w:left="0" w:firstLine="709"/>
        <w:jc w:val="both"/>
        <w:rPr>
          <w:highlight w:val="none"/>
          <w:shd w:fill="auto" w:val="clear"/>
        </w:rPr>
      </w:pPr>
      <w:r>
        <w:rPr>
          <w:sz w:val="24"/>
          <w:szCs w:val="24"/>
          <w:shd w:fill="auto" w:val="clear"/>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tabs>
          <w:tab w:val="clear" w:pos="709"/>
          <w:tab w:val="left" w:pos="1418" w:leader="none"/>
        </w:tabs>
        <w:ind w:left="0" w:firstLine="709"/>
        <w:jc w:val="both"/>
        <w:rPr>
          <w:highlight w:val="none"/>
          <w:shd w:fill="auto" w:val="clear"/>
        </w:rPr>
      </w:pPr>
      <w:r>
        <w:rPr>
          <w:sz w:val="24"/>
          <w:szCs w:val="24"/>
          <w:shd w:fill="auto" w:val="clear"/>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__(____)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shd w:fill="auto" w:val="clear"/>
        </w:rPr>
        <w:t xml:space="preserve">Накладная ТОРГ-12/УПД в __(____) </w:t>
      </w:r>
      <w:r>
        <w:rPr>
          <w:sz w:val="24"/>
          <w:szCs w:val="24"/>
        </w:rPr>
        <w:t>экз.</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w:t>
      </w:r>
      <w:r>
        <w:rPr>
          <w:sz w:val="24"/>
          <w:szCs w:val="24"/>
        </w:rPr>
        <w:t>своего</w:t>
      </w:r>
      <w:r>
        <w:rPr>
          <w:bCs/>
          <w:sz w:val="24"/>
          <w:szCs w:val="24"/>
        </w:rPr>
        <w:t xml:space="preserve"> представителя, уполномоченного надлежащим образом оформленной доверенностью на передачу Товара Покупателю, подписание Акта рекламации. </w:t>
        <w:br/>
        <w:t xml:space="preserve">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w:t>
        <w:br/>
        <w:t xml:space="preserve">по Договору. Стороны будут рассматривать неявку представителя Поставщика </w:t>
        <w:br/>
        <w:t xml:space="preserve">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В </w:t>
      </w:r>
      <w:r>
        <w:rPr>
          <w:sz w:val="24"/>
          <w:szCs w:val="24"/>
        </w:rPr>
        <w:t>случае</w:t>
      </w:r>
      <w:r>
        <w:rPr>
          <w:bCs/>
          <w:sz w:val="24"/>
          <w:szCs w:val="24"/>
        </w:rPr>
        <w:t xml:space="preserve"> неявки представителя Поставщика и / или его отказа от подписания Акта рекламации при приемке Товара, составленный и подписанный Покупателем </w:t>
        <w:br/>
        <w:t>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bookmarkStart w:id="1" w:name="_Ref361408474"/>
      <w:r>
        <w:rPr>
          <w:sz w:val="24"/>
          <w:szCs w:val="24"/>
        </w:rPr>
        <w:t>Товар</w:t>
      </w:r>
      <w:r>
        <w:rPr>
          <w:bCs/>
          <w:sz w:val="24"/>
          <w:szCs w:val="24"/>
        </w:rPr>
        <w:t xml:space="preserve">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w:t>
        <w:br/>
        <w:t xml:space="preserve">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bookmarkStart w:id="2" w:name="_Ref361396594"/>
      <w:r>
        <w:rPr>
          <w:sz w:val="24"/>
          <w:szCs w:val="24"/>
        </w:rPr>
        <w:t xml:space="preserve">Датой поставки Товара является дата подписания Сторонами Накладной </w:t>
        <w:br/>
        <w:t>ТОРГ-12/УПД.</w:t>
      </w:r>
      <w:bookmarkEnd w:id="2"/>
      <w:r>
        <w:rPr>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w:t>
      </w:r>
      <w:r>
        <w:rPr>
          <w:sz w:val="24"/>
          <w:szCs w:val="24"/>
          <w:shd w:fill="auto" w:val="clear"/>
        </w:rPr>
        <w:t xml:space="preserve">15 (пятнадцати) календарных дней с даты выявления указанных нарушений представить Покупателю необходимые принадлежности и / или документы, </w:t>
        <w:br/>
        <w:t xml:space="preserve">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highlight w:val="none"/>
          <w:shd w:fill="auto" w:val="clear"/>
        </w:rPr>
      </w:pPr>
      <w:bookmarkStart w:id="3" w:name="_Ref361408232"/>
      <w:r>
        <w:rPr>
          <w:sz w:val="24"/>
          <w:szCs w:val="24"/>
          <w:shd w:fill="auto" w:val="clear"/>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3"/>
      <w:r>
        <w:rPr>
          <w:sz w:val="24"/>
          <w:szCs w:val="24"/>
          <w:shd w:fill="auto" w:val="clear"/>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shd w:fill="auto" w:val="clear"/>
        </w:rPr>
        <w:t xml:space="preserve">Приемка Товара со вскрытием тары и упаковки производится Покупателем </w:t>
        <w:br/>
        <w:t>в присутствии представителя Поставщика в течение 15 (пятнадцати)</w:t>
      </w:r>
      <w:r>
        <w:rPr>
          <w:sz w:val="24"/>
          <w:szCs w:val="24"/>
        </w:rPr>
        <w:t xml:space="preserve"> рабочих дней </w:t>
        <w:br/>
        <w:t>с даты подписания Покупателем транспортных документов. В случае отсутствия замечаний Покупатель подписывает Накладную ТОРГ-12/УПД.</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w:t>
        <w:br/>
        <w:t>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Покупатель вправе не производить любые платежи, предусмотренные Договором, </w:t>
        <w:br/>
        <w:t xml:space="preserve">до исполнения Поставщиком своих обязательств по Договору, при этом Покупатель </w:t>
        <w:br/>
        <w:t>не считается просрочившим.</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w:t>
        <w:br/>
        <w:t>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 xml:space="preserve">Если Поставщик не вывезет Товар в указанный срок, Покупатель вправе самостоятельно возвратить Товар Поставщику. Расходы, понесенные Покупателем в связи </w:t>
        <w:br/>
        <w:t>с возвратом Товара, подлежат возмещению Поставщиком.</w:t>
      </w:r>
    </w:p>
    <w:p>
      <w:pPr>
        <w:pStyle w:val="ListParagraph"/>
        <w:widowControl/>
        <w:numPr>
          <w:ilvl w:val="1"/>
          <w:numId w:val="2"/>
        </w:numPr>
        <w:shd w:val="clear" w:color="auto" w:fill="FFFFFF"/>
        <w:tabs>
          <w:tab w:val="clear" w:pos="709"/>
          <w:tab w:val="left" w:pos="1276" w:leader="none"/>
        </w:tabs>
        <w:ind w:left="0" w:firstLine="709"/>
        <w:jc w:val="both"/>
        <w:rPr>
          <w:b/>
          <w:color w:val="000000"/>
          <w:sz w:val="24"/>
          <w:szCs w:val="24"/>
        </w:rPr>
      </w:pPr>
      <w:r>
        <w:rPr>
          <w:sz w:val="24"/>
          <w:szCs w:val="24"/>
        </w:rPr>
        <w:t xml:space="preserve">По иным вопросам, касающимся приемки Товара по количеству, качеству </w:t>
        <w:br/>
        <w:t xml:space="preserve">и комплектности в части, не противоречащей законодательству Российской Федерации </w:t>
        <w:br/>
        <w:t>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pPr>
        <w:pStyle w:val="Normal"/>
        <w:shd w:val="clear" w:color="auto" w:fill="FFFFFF"/>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0" w:hanging="0"/>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Гарантийный срок на Товар, поставленный по Договору, составляет</w:t>
      </w:r>
      <w:r>
        <w:rPr>
          <w:sz w:val="24"/>
          <w:szCs w:val="24"/>
          <w:shd w:fill="auto" w:val="clear"/>
        </w:rPr>
        <w:t xml:space="preserve"> ____ (______) месяцев и начинает течь с даты подписания Сторонами Накладной ТОРГ-12/У</w:t>
      </w:r>
      <w:r>
        <w:rPr>
          <w:sz w:val="24"/>
          <w:szCs w:val="24"/>
        </w:rPr>
        <w:t>ПД.</w:t>
      </w:r>
      <w:r>
        <w:rPr/>
        <w:t xml:space="preserve"> </w:t>
      </w:r>
      <w:r>
        <w:rPr>
          <w:sz w:val="24"/>
          <w:szCs w:val="24"/>
        </w:rPr>
        <w:t xml:space="preserve">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w:t>
        <w:br/>
        <w:t xml:space="preserve">к Товару, и Применимого права, возможность эксплуатации (использования) Товара </w:t>
        <w:br/>
        <w:t xml:space="preserve">в соответствии с его целевым назначением, а также несет безусловную ответственность </w:t>
        <w:br/>
        <w:t xml:space="preserve">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w:t>
        <w:br/>
        <w:t xml:space="preserve">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w:t>
        <w:br/>
        <w:t>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5"/>
      <w:bookmarkStart w:id="5" w:name="OLE_LINK6"/>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w:t>
        <w:br/>
        <w:t xml:space="preserve">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предоставить Покупателю копию(-и) заключения(-ий) </w:t>
        <w:br/>
        <w:t xml:space="preserve">о подтверждении производства Товара на территории Российской Федерации, </w:t>
        <w:br/>
        <w:t>выданного(-ых) Минпромторгом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не позднее 6 (шести) месяцев после окончания установленного Договором срока поставки Товара</w:t>
      </w:r>
      <w:r>
        <w:rPr>
          <w:rStyle w:val="FootnoteReference"/>
          <w:sz w:val="24"/>
          <w:szCs w:val="24"/>
        </w:rPr>
        <w:footnoteReference w:id="2"/>
      </w:r>
      <w:r>
        <w:rPr>
          <w:sz w:val="24"/>
          <w:szCs w:val="24"/>
        </w:rPr>
        <w:t>.</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Банковские гарантии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быть безотзывной и безусловной (гарантия </w:t>
        <w:br/>
        <w:t>по первому требованию).</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Бенефициар по Банковской гарантии – Покупатель, принципал – Поставщик.</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Сумма Банковской гарантии – выражена в валюте расчетов по Договору.</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Сумма Банковской гарантии возврата авансового платежа – не менее </w:t>
        <w:br/>
        <w:t xml:space="preserve">100 (ста) процентов от размера уплачиваемой по Договору предварительной оплаты (аванса) </w:t>
        <w:br/>
        <w:t xml:space="preserve">в совокупной сумме с учетом ранее выплаченных Поставщику и непогашенных (незачтенных) авансовых платежей.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br/>
        <w:t>о предъявлении суммы обеспечения к оплате</w:t>
      </w:r>
      <w:r>
        <w:rPr>
          <w:sz w:val="24"/>
          <w:szCs w:val="24"/>
        </w:rPr>
        <w:t xml:space="preserve"> </w:t>
      </w:r>
      <w:r>
        <w:rPr>
          <w:bCs/>
          <w:sz w:val="24"/>
          <w:szCs w:val="24"/>
        </w:rPr>
        <w:t xml:space="preserve">как полностью, так и частично, с указанием </w:t>
        <w:br/>
        <w:t>на существо допущенных Поставщиком нарушений, в том числе в случаях:</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нарушения Поставщиком срока</w:t>
      </w:r>
      <w:r>
        <w:rPr>
          <w:sz w:val="24"/>
          <w:szCs w:val="24"/>
        </w:rPr>
        <w:t xml:space="preserve"> </w:t>
      </w:r>
      <w:r>
        <w:rPr>
          <w:bCs/>
          <w:sz w:val="24"/>
          <w:szCs w:val="24"/>
        </w:rPr>
        <w:t>поставки Товара, установленного пунктом 1.4 Договора более, чем на 60 (шестьдесят) календарных дней;</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br/>
      </w:r>
      <w:r>
        <w:rPr>
          <w:bCs/>
          <w:sz w:val="24"/>
          <w:szCs w:val="24"/>
        </w:rPr>
        <w:t>в отношении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w:t>
        <w:br/>
        <w:t>по Договору превышает срок действия банковской гарантии либо срок исполнения обязательств продлен;</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pPr>
        <w:pStyle w:val="Normal"/>
        <w:widowControl/>
        <w:shd w:val="clear" w:color="auto" w:fill="FFFFFF"/>
        <w:tabs>
          <w:tab w:val="clear" w:pos="709"/>
          <w:tab w:val="left" w:pos="1418" w:leader="none"/>
          <w:tab w:val="left" w:pos="1855" w:leader="none"/>
        </w:tabs>
        <w:ind w:firstLine="709"/>
        <w:jc w:val="both"/>
        <w:rPr>
          <w:bCs/>
          <w:sz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pPr>
        <w:pStyle w:val="ListParagraph"/>
        <w:widowControl/>
        <w:numPr>
          <w:ilvl w:val="0"/>
          <w:numId w:val="0"/>
        </w:numPr>
        <w:shd w:val="clear" w:color="auto" w:fill="FFFFFF"/>
        <w:tabs>
          <w:tab w:val="clear" w:pos="709"/>
          <w:tab w:val="left" w:pos="1418" w:leader="none"/>
        </w:tabs>
        <w:suppressAutoHyphens w:val="true"/>
        <w:bidi w:val="0"/>
        <w:spacing w:lineRule="auto" w:line="240" w:before="0" w:after="0"/>
        <w:ind w:left="0" w:firstLine="709"/>
        <w:contextualSpacing/>
        <w:jc w:val="both"/>
        <w:rPr>
          <w:bCs/>
        </w:rPr>
      </w:pPr>
      <w:r>
        <w:rPr>
          <w:rFonts w:eastAsia="Times New Roman" w:cs="Times New Roman"/>
          <w:bCs/>
          <w:color w:val="000000"/>
          <w:kern w:val="0"/>
          <w:sz w:val="24"/>
          <w:szCs w:val="24"/>
          <w:shd w:fill="auto" w:val="clear"/>
          <w:lang w:val="ru-RU" w:eastAsia="ru-RU" w:bidi="ar-SA"/>
        </w:rPr>
        <w:t xml:space="preserve">Банковской гарантией возврата предварительной оплаты (аванса) / надлежащего исполнения обязательств / гарантийных обязательств по Договору должно быть предусмотрено условие о праве Бенефициара направлять требование об уплате денежной суммы по Банковской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pPr>
        <w:pStyle w:val="Normal"/>
        <w:spacing w:lineRule="auto" w:line="240" w:before="0" w:after="0"/>
        <w:ind w:firstLine="709"/>
        <w:jc w:val="both"/>
        <w:rPr>
          <w:rFonts w:ascii="Times New Roman" w:hAnsi="Times New Roman" w:eastAsia="Times New Roman" w:cs="Times New Roman"/>
          <w:bCs/>
          <w:color w:val="auto"/>
          <w:kern w:val="0"/>
          <w:sz w:val="24"/>
          <w:szCs w:val="24"/>
          <w:highlight w:val="none"/>
          <w:shd w:fill="FFFF00" w:val="clear"/>
          <w:lang w:val="ru-RU" w:eastAsia="ru-RU" w:bidi="ar-SA"/>
        </w:rPr>
      </w:pPr>
      <w:r>
        <w:rPr>
          <w:rFonts w:eastAsia="Times New Roman" w:cs="Times New Roman"/>
          <w:bCs/>
          <w:color w:val="000000"/>
          <w:kern w:val="0"/>
          <w:sz w:val="24"/>
          <w:szCs w:val="24"/>
          <w:shd w:fill="auto" w:val="clear"/>
          <w:lang w:val="ru-RU" w:eastAsia="ru-RU" w:bidi="ar-SA"/>
        </w:rPr>
        <w:t xml:space="preserve">Выбор формы направления такого требования осуществляется Бенефициаром самостоятельно. </w:t>
      </w: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Срок окончания действия Банковской гарантии – не ранее 70 (семидесяти) календарных дней после наступления даты поставки Товара.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br/>
        <w:t>по Банковской гарантии.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widowControl/>
        <w:numPr>
          <w:ilvl w:val="2"/>
          <w:numId w:val="2"/>
        </w:numPr>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5.1.8 Договора, или делающих такие требования неисполнимыми.</w:t>
      </w:r>
    </w:p>
    <w:p>
      <w:pPr>
        <w:pStyle w:val="ListParagraph"/>
        <w:widowControl/>
        <w:numPr>
          <w:ilvl w:val="2"/>
          <w:numId w:val="2"/>
        </w:numPr>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Банковские гарантии, предусмотренные настоящим разделом Договора, предоставляются (по выбору Заказчика): </w:t>
      </w:r>
    </w:p>
    <w:p>
      <w:pPr>
        <w:pStyle w:val="ListParagraph"/>
        <w:widowControl/>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в электронной форме с использованием программно-аппаратных средств информационной системы электронного документооборота общего пользования путем ее подписания усиленной квалифицированной электронной подписью уполномоченного представителя Банка-гаранта / иным способом предусмотренным законодательством Российской Федерации; либо</w:t>
      </w:r>
    </w:p>
    <w:p>
      <w:pPr>
        <w:pStyle w:val="ListParagraph"/>
        <w:widowControl/>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в оригинале на бумажном носителе.</w:t>
      </w:r>
    </w:p>
    <w:p>
      <w:pPr>
        <w:pStyle w:val="Normal"/>
        <w:widowControl/>
        <w:numPr>
          <w:ilvl w:val="1"/>
          <w:numId w:val="2"/>
        </w:numPr>
        <w:tabs>
          <w:tab w:val="clear" w:pos="709"/>
          <w:tab w:val="left" w:pos="0" w:leader="none"/>
          <w:tab w:val="left" w:pos="1134" w:leader="none"/>
        </w:tabs>
        <w:ind w:lef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3 к Договору.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Сумма Банковской гарантии возврата авансового платежа по согласованию </w:t>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pPr>
        <w:pStyle w:val="ListParagraph"/>
        <w:shd w:val="clear" w:color="auto" w:fill="FFFFFF"/>
        <w:tabs>
          <w:tab w:val="clear" w:pos="709"/>
          <w:tab w:val="left" w:pos="0" w:leader="none"/>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pPr>
        <w:pStyle w:val="ListParagraph"/>
        <w:shd w:val="clear" w:color="auto" w:fill="FFFFFF"/>
        <w:tabs>
          <w:tab w:val="clear" w:pos="709"/>
          <w:tab w:val="left" w:pos="0" w:leader="none"/>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Pr>
          <w:rStyle w:val="FootnoteReference"/>
          <w:sz w:val="24"/>
          <w:szCs w:val="24"/>
        </w:rPr>
        <w:footnoteReference w:id="3"/>
      </w:r>
      <w:r>
        <w:rPr>
          <w:bCs/>
          <w:sz w:val="24"/>
          <w:szCs w:val="24"/>
        </w:rPr>
        <w:t xml:space="preserve"> при выплате каждого платежа, причитающегося Поставщику, до полного зачета непогашенного (незачтенного) аванса, </w:t>
      </w:r>
      <w:r>
        <w:rPr>
          <w:sz w:val="24"/>
          <w:szCs w:val="24"/>
        </w:rPr>
        <w:t>при выплате каждого платежа, причитающегося Поставщику.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Положения пункта 2.5.1 Договора применяются, если совокупный размер авансовых платежей, уплаченных и подлежащих уплате по Договору в соответствии </w:t>
        <w:br/>
        <w:t xml:space="preserve">с выставленными счетами Поставщика составляет 5 000 000 (Пять миллионов) рублей </w:t>
        <w:br/>
        <w:t xml:space="preserve">и более без учета НДС. </w:t>
      </w:r>
    </w:p>
    <w:p>
      <w:pPr>
        <w:pStyle w:val="ListParagraph"/>
        <w:widowControl/>
        <w:numPr>
          <w:ilvl w:val="1"/>
          <w:numId w:val="2"/>
        </w:numPr>
        <w:shd w:val="clear" w:color="auto" w:fill="FFFFFF"/>
        <w:tabs>
          <w:tab w:val="clear" w:pos="709"/>
          <w:tab w:val="left" w:pos="1134" w:leader="none"/>
          <w:tab w:val="left" w:pos="1985" w:leader="none"/>
        </w:tabs>
        <w:ind w:left="0" w:firstLine="709"/>
        <w:jc w:val="both"/>
        <w:rPr>
          <w:highlight w:val="none"/>
          <w:shd w:fill="auto" w:val="clear"/>
        </w:rPr>
      </w:pPr>
      <w:r>
        <w:rPr>
          <w:sz w:val="24"/>
          <w:szCs w:val="24"/>
          <w:shd w:fill="auto" w:val="clear"/>
        </w:rPr>
        <w:t xml:space="preserve">Стороны вправе изменить способы и порядок обеспечения обязательств </w:t>
        <w:br/>
        <w:t>по Договору, указанные в настоящем разделе, путем подписания дополнительного соглашения к Договору</w:t>
      </w:r>
      <w:r>
        <w:rPr>
          <w:rStyle w:val="FootnoteReference"/>
          <w:sz w:val="24"/>
          <w:szCs w:val="24"/>
          <w:shd w:fill="auto" w:val="clear"/>
        </w:rPr>
        <w:footnoteReference w:id="4"/>
      </w:r>
      <w:r>
        <w:rPr>
          <w:sz w:val="24"/>
          <w:szCs w:val="24"/>
          <w:shd w:fill="auto" w:val="clear"/>
        </w:rPr>
        <w:t>.</w:t>
      </w:r>
    </w:p>
    <w:p>
      <w:pPr>
        <w:pStyle w:val="ListParagraph"/>
        <w:widowControl/>
        <w:numPr>
          <w:ilvl w:val="1"/>
          <w:numId w:val="2"/>
        </w:numPr>
        <w:shd w:val="clear" w:color="auto" w:fill="FFFFFF"/>
        <w:tabs>
          <w:tab w:val="clear" w:pos="709"/>
        </w:tabs>
        <w:ind w:left="0" w:firstLine="709"/>
        <w:jc w:val="both"/>
        <w:rPr>
          <w:bCs/>
          <w:sz w:val="24"/>
          <w:szCs w:val="24"/>
        </w:rPr>
      </w:pPr>
      <w:r>
        <w:rPr>
          <w:sz w:val="24"/>
        </w:rPr>
        <w:t xml:space="preserve">Принадлежащее Покупателю по Банковской гарантии право требования </w:t>
        <w:br/>
        <w:t>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pPr>
        <w:pStyle w:val="Normal"/>
        <w:widowControl/>
        <w:shd w:val="clear" w:color="auto" w:fill="FFFFFF"/>
        <w:tabs>
          <w:tab w:val="clear" w:pos="709"/>
          <w:tab w:val="left" w:pos="0" w:leader="none"/>
          <w:tab w:val="left" w:pos="1134" w:leader="none"/>
        </w:tabs>
        <w:ind w:left="1419" w:hanging="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276" w:leader="none"/>
        </w:tabs>
        <w:ind w:left="0" w:firstLine="709"/>
        <w:jc w:val="both"/>
        <w:rPr>
          <w:sz w:val="24"/>
          <w:szCs w:val="24"/>
        </w:rPr>
      </w:pPr>
      <w:r>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w:t>
        <w:br/>
        <w:t xml:space="preserve">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одной десятой) процента от несвоевременно оплаченной суммы за каждый день просрочки.</w:t>
      </w:r>
    </w:p>
    <w:p>
      <w:pPr>
        <w:pStyle w:val="Normal"/>
        <w:widowControl/>
        <w:numPr>
          <w:ilvl w:val="1"/>
          <w:numId w:val="2"/>
        </w:numPr>
        <w:tabs>
          <w:tab w:val="clear" w:pos="709"/>
          <w:tab w:val="left" w:pos="1276" w:leader="none"/>
        </w:tabs>
        <w:ind w:left="0" w:firstLine="709"/>
        <w:jc w:val="both"/>
        <w:rPr>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неустойки в размере 0,1 (ноль целых и одной десятой) процента от Цены Договора за каждый день просрочки.</w:t>
      </w:r>
    </w:p>
    <w:p>
      <w:pPr>
        <w:pStyle w:val="ListParagraph"/>
        <w:widowControl/>
        <w:numPr>
          <w:ilvl w:val="1"/>
          <w:numId w:val="15"/>
        </w:numPr>
        <w:tabs>
          <w:tab w:val="clear" w:pos="709"/>
          <w:tab w:val="left" w:pos="1276" w:leader="none"/>
        </w:tabs>
        <w:ind w:left="0" w:firstLine="709"/>
        <w:jc w:val="both"/>
        <w:rPr>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pPr>
        <w:pStyle w:val="ListParagraph"/>
        <w:widowControl/>
        <w:numPr>
          <w:ilvl w:val="2"/>
          <w:numId w:val="15"/>
        </w:numPr>
        <w:ind w:left="0" w:firstLine="709"/>
        <w:jc w:val="both"/>
        <w:rPr>
          <w:sz w:val="24"/>
          <w:szCs w:val="24"/>
        </w:rPr>
      </w:pPr>
      <w:r>
        <w:rPr>
          <w:sz w:val="24"/>
          <w:szCs w:val="24"/>
        </w:rPr>
        <w:t xml:space="preserve">Неустойки в размере 0,1 (ноль целых и одной десятой)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w:t>
        <w:br/>
        <w:t>в целом.</w:t>
      </w:r>
    </w:p>
    <w:p>
      <w:pPr>
        <w:pStyle w:val="ListParagraph"/>
        <w:widowControl/>
        <w:numPr>
          <w:ilvl w:val="2"/>
          <w:numId w:val="15"/>
        </w:numPr>
        <w:ind w:left="0" w:firstLine="709"/>
        <w:jc w:val="both"/>
        <w:rPr>
          <w:sz w:val="24"/>
          <w:szCs w:val="24"/>
        </w:rPr>
      </w:pPr>
      <w:r>
        <w:rPr>
          <w:sz w:val="24"/>
          <w:szCs w:val="24"/>
        </w:rPr>
        <w:t>Неустойки в размере 0,1 (ноль целых и одной десятой)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numPr>
          <w:ilvl w:val="1"/>
          <w:numId w:val="15"/>
        </w:numPr>
        <w:tabs>
          <w:tab w:val="clear" w:pos="709"/>
          <w:tab w:val="left" w:pos="1276" w:leader="none"/>
          <w:tab w:val="left" w:pos="1701" w:leader="none"/>
        </w:tabs>
        <w:ind w:left="0" w:firstLine="709"/>
        <w:jc w:val="both"/>
        <w:rPr>
          <w:sz w:val="24"/>
          <w:szCs w:val="24"/>
        </w:rPr>
      </w:pPr>
      <w:r>
        <w:rPr>
          <w:rFonts w:eastAsia="Calibri"/>
          <w:bCs/>
          <w:sz w:val="24"/>
          <w:szCs w:val="24"/>
        </w:rPr>
        <w:t xml:space="preserve">На сумму подлежащего возврату аванса начисляется неустойка в размере </w:t>
        <w:br/>
        <w:t>0,1 (ноль целых и одной десятой) процента с даты, установленной для возврата аванса</w:t>
      </w:r>
      <w:r>
        <w:rPr>
          <w:sz w:val="24"/>
          <w:szCs w:val="24"/>
        </w:rPr>
        <w:t>.</w:t>
      </w:r>
    </w:p>
    <w:p>
      <w:pPr>
        <w:pStyle w:val="ListParagraph"/>
        <w:widowControl/>
        <w:numPr>
          <w:ilvl w:val="1"/>
          <w:numId w:val="15"/>
        </w:numPr>
        <w:shd w:val="clear" w:color="auto" w:fill="FFFFFF"/>
        <w:tabs>
          <w:tab w:val="clear" w:pos="709"/>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w:t>
        <w:br/>
        <w:t xml:space="preserve">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4 к Договору. </w:t>
      </w:r>
    </w:p>
    <w:p>
      <w:pPr>
        <w:pStyle w:val="ListParagraph"/>
        <w:widowControl/>
        <w:numPr>
          <w:ilvl w:val="1"/>
          <w:numId w:val="15"/>
        </w:numPr>
        <w:shd w:val="clear" w:color="auto" w:fill="FFFFFF"/>
        <w:tabs>
          <w:tab w:val="clear" w:pos="709"/>
          <w:tab w:val="left" w:pos="1276" w:leader="none"/>
        </w:tabs>
        <w:ind w:left="0" w:firstLine="709"/>
        <w:jc w:val="both"/>
        <w:rPr>
          <w:bCs/>
          <w:sz w:val="24"/>
          <w:szCs w:val="24"/>
        </w:rPr>
      </w:pPr>
      <w:r>
        <w:rPr>
          <w:bCs/>
          <w:sz w:val="24"/>
          <w:szCs w:val="24"/>
        </w:rPr>
        <w:t>Если в результате составления и выставления Поставщиком счетов-фактур/УПД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ind w:left="0" w:firstLine="709"/>
        <w:jc w:val="both"/>
        <w:rPr>
          <w:bCs/>
          <w:sz w:val="24"/>
          <w:szCs w:val="24"/>
        </w:rPr>
      </w:pPr>
      <w:r>
        <w:rPr>
          <w:bCs/>
          <w:sz w:val="24"/>
          <w:szCs w:val="24"/>
        </w:rPr>
        <w:t>В случае нарушения Поставщиком сроков предоставления счетов-фактур/УПД, установленных пунктом 2.8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15"/>
        </w:numPr>
        <w:shd w:val="clear" w:color="auto" w:fill="FFFFFF"/>
        <w:ind w:left="0" w:firstLine="709"/>
        <w:jc w:val="both"/>
        <w:rPr>
          <w:bCs/>
          <w:sz w:val="24"/>
          <w:szCs w:val="24"/>
        </w:rPr>
      </w:pPr>
      <w:r>
        <w:rPr>
          <w:bCs/>
          <w:sz w:val="24"/>
          <w:szCs w:val="24"/>
        </w:rPr>
        <w:t>За непредоставление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трех сотых) процента от Цены Договора за каждый день просрочки.</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15"/>
        </w:numPr>
        <w:shd w:val="clear" w:color="auto" w:fill="FFFFFF"/>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15"/>
        </w:numPr>
        <w:shd w:val="clear" w:color="auto" w:fill="FFFFFF"/>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В случае нарушения Поставщиком срока предоставления документов, установленного пунктом 4.8 Договора (если такое нарушение привело к невыполнению Покупателем требований по локализации оборудования, установленных законодательством Российской Федерации к оборудованию, эксплуатируемому по итогам модернизации (реконструкции) или строительства генерирующих объектов тепловых электростанций </w:t>
        <w:br/>
        <w:t>в неценовых зонах оптового рынка), Покупатель вправе требовать уплаты Поставщиком  штрафа в размере 10 (десяти) процентов от стоимости Товара. Покупатель вправе удержать сумму такого штрафа из любого платежа, причитающегося Поставщику по Договору</w:t>
      </w:r>
      <w:r>
        <w:rPr>
          <w:rStyle w:val="FootnoteReference"/>
          <w:bCs/>
          <w:sz w:val="24"/>
          <w:szCs w:val="24"/>
        </w:rPr>
        <w:footnoteReference w:id="5"/>
      </w:r>
      <w:r>
        <w:rPr>
          <w:bCs/>
          <w:sz w:val="24"/>
          <w:szCs w:val="24"/>
        </w:rPr>
        <w:t>.</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36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w:t>
        <w:br/>
        <w:t>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7"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7"/>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8"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8"/>
    </w:p>
    <w:p>
      <w:pPr>
        <w:pStyle w:val="Normal"/>
        <w:numPr>
          <w:ilvl w:val="1"/>
          <w:numId w:val="2"/>
        </w:numPr>
        <w:shd w:val="clear" w:color="auto" w:fill="FFFFFF"/>
        <w:tabs>
          <w:tab w:val="clear" w:pos="709"/>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ListParagraph"/>
        <w:widowControl/>
        <w:shd w:val="clear" w:color="auto" w:fill="FFFFFF"/>
        <w:tabs>
          <w:tab w:val="clear" w:pos="709"/>
          <w:tab w:val="left" w:pos="1134"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s>
        <w:ind w:left="0" w:firstLine="709"/>
        <w:jc w:val="both"/>
        <w:rPr>
          <w:bCs/>
          <w:sz w:val="24"/>
          <w:szCs w:val="24"/>
        </w:rPr>
      </w:pPr>
      <w:r>
        <w:rPr>
          <w:bCs/>
          <w:sz w:val="24"/>
          <w:szCs w:val="24"/>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Pr>
          <w:bCs/>
          <w:sz w:val="24"/>
          <w:szCs w:val="24"/>
          <w:shd w:fill="auto" w:val="clear"/>
        </w:rPr>
        <w:t xml:space="preserve">Амурской области в соответствии с законодательством Российской Федерации, </w:t>
        <w:br/>
        <w:t>за исключением споров из Банковской гарантии, подсудность которых предусмотрена пунктом 5.1.9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highlight w:val="none"/>
          <w:shd w:fill="auto" w:val="clear"/>
        </w:rPr>
      </w:pPr>
      <w:r>
        <w:rPr>
          <w:bCs/>
          <w:sz w:val="24"/>
          <w:szCs w:val="24"/>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shd w:fill="auto" w:val="clear"/>
        </w:rPr>
        <w:t>Срок для рассмотрения претензии – 15 (пят</w:t>
      </w:r>
      <w:r>
        <w:rPr>
          <w:bCs/>
          <w:sz w:val="24"/>
          <w:szCs w:val="24"/>
        </w:rPr>
        <w:t xml:space="preserve">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Договора сохраняют свою силу в случае признания Договора незаключенным и / или недействительным.</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w:t>
        <w:br/>
        <w:t>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w:t>
        <w:br/>
        <w:t>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9.3. В случае возникновения у любой Стороны обоснованных предположений, что </w:t>
        <w:br/>
        <w:t xml:space="preserve">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w:t>
        <w:br/>
        <w:t>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w:t>
        <w:br/>
        <w:t>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br/>
        <w:t xml:space="preserve">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w:t>
        <w:br/>
        <w:t xml:space="preserve">не позднее 5 (пяти)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9.7. Каналы связи Линии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 xml:space="preserve">9.7.2. Специальная форма «обратной связи», размещенная на официальном сайте </w:t>
        <w:br/>
        <w:t>ПАО «РусГидро»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Надлежащим (достаточным) доказательством наличия / возникновения </w:t>
        <w:br/>
        <w:t xml:space="preserve">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w:t>
        <w:br/>
        <w:t>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36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 xml:space="preserve">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w:t>
        <w:br/>
        <w:t>и трудности исполнения обязательств, возникающих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письменному требованию Покупателя уплатить последнему штраф </w:t>
        <w:br/>
        <w:t>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w:t>
        <w:br/>
        <w:t>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14.8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 xml:space="preserve">Покупатель одновременно с уведомлением об отказе от Договора (исполнения Договора) направляет Поставщику письменное требование о возмещении убытков </w:t>
        <w:br/>
        <w:t xml:space="preserve">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w:t>
        <w:br/>
        <w:t>от Покупателя.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нарушение Поставщиком общего срока поставки Товара по Договору, а также промежуточных сроков поставки Товара, установленных Договором, более чем </w:t>
        <w:br/>
        <w:t>на 60 (шестьдесят) календарных дней по причинам, не зависящим от Покупателя;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w:t>
        <w:br/>
        <w:t xml:space="preserve">от Договора (исполнения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0" w:leader="none"/>
        </w:tabs>
        <w:ind w:left="709" w:hanging="0"/>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rPr>
        <w:t>Договор вступает в силу с даты его подписан</w:t>
      </w:r>
      <w:r>
        <w:rPr>
          <w:sz w:val="24"/>
          <w:szCs w:val="24"/>
          <w:shd w:fill="auto" w:val="clear"/>
        </w:rPr>
        <w:t xml:space="preserve">ия Сторонами и действует </w:t>
        <w:br/>
        <w:t xml:space="preserve">до полного исполнения ими принятых на себя обязательств. В соответствии с пунктом 2 статьи 425 ГК РФ, условия Договора применяются к отношениям Сторон, возникшим </w:t>
        <w:br/>
        <w:t>с __________.</w:t>
      </w:r>
    </w:p>
    <w:p>
      <w:pPr>
        <w:pStyle w:val="Normal"/>
        <w:widowControl/>
        <w:numPr>
          <w:ilvl w:val="1"/>
          <w:numId w:val="2"/>
        </w:numPr>
        <w:tabs>
          <w:tab w:val="clear" w:pos="709"/>
          <w:tab w:val="left" w:pos="142" w:leader="none"/>
          <w:tab w:val="left" w:pos="1418" w:leader="none"/>
        </w:tabs>
        <w:snapToGrid w:val="false"/>
        <w:ind w:left="0" w:firstLine="709"/>
        <w:jc w:val="both"/>
        <w:rPr>
          <w:highlight w:val="none"/>
          <w:shd w:fill="auto" w:val="clear"/>
        </w:rPr>
      </w:pPr>
      <w:r>
        <w:rPr>
          <w:sz w:val="24"/>
          <w:szCs w:val="24"/>
          <w:shd w:fill="auto" w:val="clear"/>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tabs>
          <w:tab w:val="clear" w:pos="709"/>
          <w:tab w:val="left" w:pos="142" w:leader="none"/>
        </w:tabs>
        <w:ind w:firstLine="709"/>
        <w:jc w:val="both"/>
        <w:rPr>
          <w:highlight w:val="none"/>
          <w:shd w:fill="auto" w:val="clear"/>
        </w:rPr>
      </w:pPr>
      <w:r>
        <w:rPr>
          <w:sz w:val="24"/>
          <w:szCs w:val="24"/>
          <w:shd w:fill="auto" w:val="clear"/>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shd w:fill="auto" w:val="clear"/>
          <w:lang w:eastAsia="en-US"/>
        </w:rPr>
        <w:footnoteReference w:id="6"/>
      </w:r>
      <w:r>
        <w:rPr>
          <w:sz w:val="24"/>
          <w:szCs w:val="24"/>
          <w:shd w:fill="auto" w:val="clear"/>
          <w:lang w:eastAsia="en-US"/>
        </w:rPr>
        <w:t>.</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highlight w:val="lightGray"/>
        </w:rPr>
        <w:t>14.7</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w:t>
      </w:r>
      <w:r>
        <w:rPr>
          <w:sz w:val="24"/>
          <w:szCs w:val="24"/>
          <w:highlight w:val="lightGray"/>
        </w:rPr>
        <w:t>14.8</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9" w:name="_Ref361338004"/>
      <w:r>
        <w:rPr>
          <w:sz w:val="24"/>
          <w:szCs w:val="24"/>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sz w:val="24"/>
          <w:szCs w:val="24"/>
          <w:highlight w:val="lightGray"/>
        </w:rPr>
        <w:t>14.8</w:t>
      </w:r>
      <w:r>
        <w:rPr>
          <w:sz w:val="24"/>
          <w:szCs w:val="24"/>
        </w:rPr>
        <w:t xml:space="preserve"> Договора.</w:t>
      </w:r>
      <w:bookmarkEnd w:id="9"/>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highlight w:val="lightGray"/>
        </w:rPr>
        <w:t>14.8.1 – 14.8.2</w:t>
      </w:r>
      <w:r>
        <w:rPr>
          <w:bCs/>
          <w:sz w:val="24"/>
          <w:szCs w:val="24"/>
        </w:rPr>
        <w:t xml:space="preserve"> Договора. </w:t>
      </w:r>
    </w:p>
    <w:p>
      <w:pPr>
        <w:pStyle w:val="Normal"/>
        <w:widowControl/>
        <w:numPr>
          <w:ilvl w:val="1"/>
          <w:numId w:val="2"/>
        </w:numPr>
        <w:tabs>
          <w:tab w:val="clear" w:pos="709"/>
          <w:tab w:val="left" w:pos="0" w:leader="none"/>
          <w:tab w:val="left" w:pos="1418" w:leader="none"/>
          <w:tab w:val="left" w:pos="1985"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 w:val="left" w:pos="1985"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rStyle w:val="FootnoteReference"/>
          <w:sz w:val="24"/>
          <w:szCs w:val="24"/>
        </w:rPr>
        <w:footnoteReference w:id="7"/>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FootnoteReference"/>
          <w:sz w:val="24"/>
          <w:szCs w:val="24"/>
          <w:highlight w:val="lightGray"/>
        </w:rPr>
        <w:footnoteReference w:id="8"/>
      </w:r>
      <w:r>
        <w:rPr>
          <w:sz w:val="24"/>
          <w:szCs w:val="24"/>
          <w:highlight w:val="lightGray"/>
        </w:rPr>
        <w:t>.</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lineRule="auto" w:line="259" w:before="0" w:after="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10"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suppressAutoHyphens w:val="true"/>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pPr>
        <w:pStyle w:val="Normal"/>
        <w:widowControl/>
        <w:shd w:val="clear" w:color="auto" w:fill="FFFFFF"/>
        <w:tabs>
          <w:tab w:val="clear" w:pos="709"/>
          <w:tab w:val="left" w:pos="0" w:leader="none"/>
          <w:tab w:val="left" w:pos="2694" w:leader="none"/>
        </w:tabs>
        <w:suppressAutoHyphens w:val="true"/>
        <w:ind w:firstLine="709"/>
        <w:jc w:val="both"/>
        <w:rPr>
          <w:sz w:val="24"/>
          <w:szCs w:val="24"/>
        </w:rPr>
      </w:pPr>
      <w:r>
        <w:rPr>
          <w:sz w:val="24"/>
          <w:szCs w:val="24"/>
          <w:lang w:eastAsia="x-none"/>
        </w:rPr>
        <w:t>Приложение № 3 –</w:t>
      </w:r>
      <w:r>
        <w:rPr>
          <w:rFonts w:eastAsia="Calibri"/>
          <w:sz w:val="24"/>
          <w:szCs w:val="24"/>
          <w:lang w:eastAsia="en-US"/>
        </w:rPr>
        <w:t xml:space="preserve"> Критерии отбора Банков-Гарантов.</w:t>
      </w:r>
      <w:bookmarkEnd w:id="10"/>
    </w:p>
    <w:p>
      <w:pPr>
        <w:pStyle w:val="Normal"/>
        <w:ind w:firstLine="709"/>
        <w:jc w:val="both"/>
        <w:rPr>
          <w:bCs/>
          <w:sz w:val="24"/>
          <w:szCs w:val="24"/>
        </w:rPr>
      </w:pPr>
      <w:r>
        <w:rPr>
          <w:bCs/>
          <w:sz w:val="24"/>
          <w:szCs w:val="24"/>
        </w:rPr>
        <w:t xml:space="preserve">Приложение № 4 </w:t>
      </w:r>
      <w:r>
        <w:rPr>
          <w:rFonts w:eastAsia="Calibri"/>
          <w:sz w:val="24"/>
          <w:szCs w:val="24"/>
          <w:lang w:eastAsia="en-US"/>
        </w:rPr>
        <w:t>–</w:t>
      </w:r>
      <w:r>
        <w:rPr>
          <w:bCs/>
          <w:sz w:val="24"/>
          <w:szCs w:val="24"/>
        </w:rPr>
        <w:t xml:space="preserve"> Размер ответственности Поставщика за нарушения пропускного </w:t>
        <w:br/>
        <w:t>и внутриобъектового режима, требований охраны труда, пожарной и промышленной безопасности.</w:t>
      </w:r>
    </w:p>
    <w:p>
      <w:pPr>
        <w:pStyle w:val="ListParagraph"/>
        <w:widowControl/>
        <w:numPr>
          <w:ilvl w:val="0"/>
          <w:numId w:val="2"/>
        </w:numPr>
        <w:shd w:val="clear" w:color="auto" w:fill="FFFFFF"/>
        <w:tabs>
          <w:tab w:val="clear" w:pos="709"/>
          <w:tab w:val="left" w:pos="426" w:leader="none"/>
        </w:tabs>
        <w:ind w:left="0" w:hanging="36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36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77"/>
        <w:gridCol w:w="151"/>
        <w:gridCol w:w="4635"/>
        <w:gridCol w:w="327"/>
      </w:tblGrid>
      <w:tr>
        <w:trPr/>
        <w:tc>
          <w:tcPr>
            <w:tcW w:w="4928" w:type="dxa"/>
            <w:gridSpan w:val="2"/>
            <w:tcBorders/>
          </w:tcPr>
          <w:p>
            <w:pPr>
              <w:pStyle w:val="Normal"/>
              <w:widowControl w:val="false"/>
              <w:rPr>
                <w:sz w:val="24"/>
                <w:szCs w:val="24"/>
              </w:rPr>
            </w:pPr>
            <w:r>
              <w:rPr>
                <w:sz w:val="24"/>
                <w:szCs w:val="24"/>
              </w:rPr>
              <w:t>ПОКУПАТЕЛЬ:</w:t>
            </w:r>
          </w:p>
        </w:tc>
        <w:tc>
          <w:tcPr>
            <w:tcW w:w="4962" w:type="dxa"/>
            <w:gridSpan w:val="2"/>
            <w:tcBorders/>
          </w:tcPr>
          <w:p>
            <w:pPr>
              <w:pStyle w:val="Normal"/>
              <w:widowControl w:val="false"/>
              <w:rPr>
                <w:sz w:val="24"/>
                <w:szCs w:val="24"/>
              </w:rPr>
            </w:pPr>
            <w:r>
              <w:rPr>
                <w:sz w:val="24"/>
                <w:szCs w:val="24"/>
              </w:rPr>
              <w:t>ПОСТАВЩИК:</w:t>
            </w:r>
          </w:p>
        </w:tc>
      </w:tr>
      <w:tr>
        <w:trPr/>
        <w:tc>
          <w:tcPr>
            <w:tcW w:w="4928" w:type="dxa"/>
            <w:gridSpan w:val="2"/>
            <w:tcBorders/>
            <w:shd w:color="auto" w:fill="BFBFBF"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spacing w:lineRule="auto" w:line="240"/>
              <w:ind w:hanging="0"/>
              <w:jc w:val="left"/>
              <w:rPr>
                <w:sz w:val="24"/>
                <w:szCs w:val="24"/>
              </w:rPr>
            </w:pPr>
            <w:r>
              <w:rPr>
                <w:sz w:val="24"/>
                <w:szCs w:val="24"/>
              </w:rPr>
              <w:t>Юридический/Почтовый адрес: 660017, Красноярский край, г.о. город Красноярск,</w:t>
            </w:r>
          </w:p>
          <w:p>
            <w:pPr>
              <w:pStyle w:val="Normal"/>
              <w:widowControl w:val="false"/>
              <w:spacing w:lineRule="auto" w:line="240"/>
              <w:ind w:hanging="0"/>
              <w:jc w:val="left"/>
              <w:rPr>
                <w:sz w:val="24"/>
                <w:szCs w:val="24"/>
              </w:rPr>
            </w:pPr>
            <w:r>
              <w:rPr>
                <w:sz w:val="24"/>
                <w:szCs w:val="24"/>
              </w:rPr>
              <w:t xml:space="preserve">г. Красноярск, ул. Перенсона, зд.2, пом.1 </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 / КПП 997650001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c>
          <w:tcPr>
            <w:tcW w:w="4962" w:type="dxa"/>
            <w:gridSpan w:val="2"/>
            <w:tcBorders/>
            <w:shd w:color="auto" w:fill="BFBFBF"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Юридический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77" w:type="dxa"/>
            <w:tcBorders/>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327" w:type="dxa"/>
            <w:tcBorders/>
          </w:tcPr>
          <w:p>
            <w:pPr>
              <w:pStyle w:val="Normal"/>
              <w:widowControl w:val="false"/>
              <w:rPr/>
            </w:pPr>
            <w:r>
              <w:rPr/>
            </w:r>
          </w:p>
        </w:tc>
      </w:tr>
    </w:tbl>
    <w:p>
      <w:pPr>
        <w:sectPr>
          <w:headerReference w:type="default" r:id="rId2"/>
          <w:headerReference w:type="first" r:id="rId3"/>
          <w:footerReference w:type="default" r:id="rId4"/>
          <w:footnotePr>
            <w:numFmt w:val="decimal"/>
          </w:footnotePr>
          <w:type w:val="nextPage"/>
          <w:pgSz w:w="11906" w:h="16838"/>
          <w:pgMar w:left="1560" w:right="851" w:gutter="0" w:header="709" w:top="1134" w:footer="709" w:bottom="1135"/>
          <w:pgNumType w:fmt="decimal"/>
          <w:formProt w:val="false"/>
          <w:titlePg/>
          <w:textDirection w:val="lrTb"/>
          <w:docGrid w:type="default" w:linePitch="360" w:charSpace="8192"/>
        </w:sectPr>
      </w:pPr>
    </w:p>
    <w:p>
      <w:pPr>
        <w:pStyle w:val="Normal"/>
        <w:suppressAutoHyphens w:val="true"/>
        <w:ind w:left="5103" w:right="96" w:hanging="0"/>
        <w:rPr>
          <w:sz w:val="22"/>
          <w:szCs w:val="22"/>
        </w:rPr>
      </w:pPr>
      <w:r>
        <w:rPr>
          <w:sz w:val="22"/>
          <w:szCs w:val="22"/>
        </w:rPr>
        <w:t>Приложение № 1</w:t>
      </w:r>
    </w:p>
    <w:p>
      <w:pPr>
        <w:pStyle w:val="Normal"/>
        <w:suppressAutoHyphens w:val="true"/>
        <w:ind w:left="5103" w:right="96" w:hanging="0"/>
        <w:rPr>
          <w:sz w:val="22"/>
          <w:szCs w:val="22"/>
        </w:rPr>
      </w:pPr>
      <w:r>
        <w:rPr>
          <w:sz w:val="22"/>
          <w:szCs w:val="22"/>
        </w:rPr>
        <w:t>к Договору поставки</w:t>
      </w:r>
    </w:p>
    <w:p>
      <w:pPr>
        <w:pStyle w:val="Normal"/>
        <w:suppressAutoHyphens w:val="true"/>
        <w:ind w:left="5103" w:right="96" w:hanging="0"/>
        <w:rPr>
          <w:sz w:val="22"/>
          <w:szCs w:val="22"/>
        </w:rPr>
      </w:pPr>
      <w:r>
        <w:rPr>
          <w:sz w:val="22"/>
          <w:szCs w:val="22"/>
        </w:rPr>
        <w:t>от «____» __________ 20 _ г. № _____</w:t>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397"/>
        <w:gridCol w:w="633"/>
        <w:gridCol w:w="636"/>
        <w:gridCol w:w="638"/>
        <w:gridCol w:w="799"/>
        <w:gridCol w:w="766"/>
        <w:gridCol w:w="644"/>
        <w:gridCol w:w="762"/>
        <w:gridCol w:w="720"/>
        <w:gridCol w:w="377"/>
        <w:gridCol w:w="156"/>
        <w:gridCol w:w="666"/>
        <w:gridCol w:w="582"/>
        <w:gridCol w:w="531"/>
        <w:gridCol w:w="745"/>
        <w:gridCol w:w="585"/>
      </w:tblGrid>
      <w:tr>
        <w:trPr>
          <w:trHeight w:val="526"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9"/>
            </w:r>
          </w:p>
        </w:tc>
        <w:tc>
          <w:tcPr>
            <w:tcW w:w="7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highlight w:val="none"/>
                <w:shd w:fill="auto" w:val="clear"/>
              </w:rPr>
            </w:pPr>
            <w:r>
              <w:rPr>
                <w:b/>
                <w:bCs/>
                <w:shd w:fill="auto" w:val="clear"/>
              </w:rPr>
            </w:r>
          </w:p>
          <w:p>
            <w:pPr>
              <w:pStyle w:val="Normal"/>
              <w:widowControl w:val="false"/>
              <w:jc w:val="center"/>
              <w:rPr>
                <w:highlight w:val="none"/>
                <w:shd w:fill="auto" w:val="clear"/>
              </w:rPr>
            </w:pPr>
            <w:r>
              <w:rPr>
                <w:bCs/>
                <w:shd w:fill="auto" w:val="clear"/>
              </w:rPr>
              <w:t>Порядковый номер(а) реестровой(ых) записи(ей)</w:t>
            </w:r>
            <w:r>
              <w:rPr>
                <w:rStyle w:val="FootnoteReference"/>
                <w:bCs/>
                <w:shd w:fill="auto" w:val="clear"/>
              </w:rPr>
              <w:footnoteReference w:id="10"/>
            </w:r>
          </w:p>
          <w:p>
            <w:pPr>
              <w:pStyle w:val="Normal"/>
              <w:widowControl w:val="false"/>
              <w:jc w:val="center"/>
              <w:rPr>
                <w:bCs/>
                <w:highlight w:val="none"/>
                <w:shd w:fill="auto" w:val="clear"/>
              </w:rPr>
            </w:pPr>
            <w:r>
              <w:rPr>
                <w:bCs/>
                <w:shd w:fill="auto" w:val="clear"/>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6372"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none"/>
                <w:shd w:fill="auto" w:val="clear"/>
              </w:rPr>
            </w:pPr>
            <w:r>
              <w:rPr>
                <w:shd w:fill="auto" w:val="clear"/>
              </w:rPr>
              <w:t>Итого стоимость всего Товара (с учетом доставки), руб. с НДС*:</w:t>
            </w:r>
          </w:p>
        </w:tc>
        <w:tc>
          <w:tcPr>
            <w:tcW w:w="3265"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r>
    </w:tbl>
    <w:p>
      <w:pPr>
        <w:pStyle w:val="Normal"/>
        <w:widowControl w:val="false"/>
        <w:bidi w:val="0"/>
        <w:spacing w:lineRule="auto" w:line="240" w:before="0" w:after="0"/>
        <w:ind w:left="-737" w:right="680" w:hanging="0"/>
        <w:jc w:val="both"/>
        <w:rPr>
          <w:i/>
          <w:i/>
          <w:iCs/>
          <w:sz w:val="20"/>
          <w:szCs w:val="20"/>
          <w:highlight w:val="none"/>
          <w:shd w:fill="auto" w:val="clear"/>
        </w:rPr>
      </w:pPr>
      <w:r>
        <w:rPr>
          <w:i/>
          <w:iCs/>
          <w:sz w:val="20"/>
          <w:szCs w:val="20"/>
          <w:shd w:fill="auto" w:val="clear"/>
        </w:rPr>
        <w:t>* При этом сумма НДС является справочной и рассчитана исходя из ставки НДС в соответствии с действующим законодательством Российской Федерации.</w:t>
      </w:r>
    </w:p>
    <w:p>
      <w:pPr>
        <w:pStyle w:val="Normal"/>
        <w:widowControl w:val="false"/>
        <w:bidi w:val="0"/>
        <w:spacing w:lineRule="auto" w:line="240" w:before="0" w:after="0"/>
        <w:ind w:left="-737" w:right="680" w:hanging="0"/>
        <w:jc w:val="both"/>
        <w:rPr>
          <w:i/>
          <w:i/>
          <w:iCs/>
          <w:sz w:val="20"/>
          <w:szCs w:val="20"/>
          <w:highlight w:val="none"/>
          <w:shd w:fill="auto" w:val="clear"/>
        </w:rPr>
      </w:pPr>
      <w:r>
        <w:rPr>
          <w:i/>
          <w:iCs/>
          <w:sz w:val="20"/>
          <w:szCs w:val="20"/>
          <w:shd w:fill="auto" w:val="clear"/>
        </w:rPr>
      </w:r>
    </w:p>
    <w:p>
      <w:pPr>
        <w:pStyle w:val="Normal"/>
        <w:rPr>
          <w:i/>
          <w:i/>
          <w:sz w:val="22"/>
          <w:szCs w:val="22"/>
          <w:highlight w:val="lightGray"/>
        </w:rPr>
      </w:pPr>
      <w:r>
        <w:rPr>
          <w:i/>
          <w:sz w:val="22"/>
          <w:szCs w:val="22"/>
          <w:shd w:fill="auto" w:val="clear"/>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jc w:val="both"/>
        <w:rPr>
          <w:i/>
          <w:i/>
          <w:sz w:val="22"/>
          <w:szCs w:val="22"/>
        </w:rPr>
      </w:pPr>
      <w:r>
        <w:rPr>
          <w:i/>
          <w:sz w:val="22"/>
          <w:szCs w:val="22"/>
          <w:shd w:fill="auto" w:val="clear"/>
        </w:rPr>
        <w:t>2. По требованию Покупателя Поставщик обязан представить запрашиваемую информацию / документы, расчеты, обосновывающие стоимость доставки.</w:t>
      </w:r>
      <w:r>
        <w:rPr>
          <w:i/>
          <w:sz w:val="22"/>
          <w:szCs w:val="22"/>
        </w:rPr>
        <w:t xml:space="preserve"> </w:t>
      </w:r>
    </w:p>
    <w:p>
      <w:pPr>
        <w:pStyle w:val="Normal"/>
        <w:rPr>
          <w:i/>
          <w:i/>
          <w:sz w:val="22"/>
          <w:szCs w:val="22"/>
        </w:rPr>
      </w:pPr>
      <w:r>
        <w:rPr>
          <w:i/>
          <w:sz w:val="22"/>
          <w:szCs w:val="22"/>
        </w:rPr>
      </w:r>
    </w:p>
    <w:p>
      <w:pPr>
        <w:pStyle w:val="Normal"/>
        <w:rPr>
          <w:i/>
          <w:i/>
          <w:sz w:val="22"/>
          <w:szCs w:val="22"/>
        </w:rPr>
      </w:pPr>
      <w:r>
        <w:rPr>
          <w:i/>
          <w:sz w:val="22"/>
          <w:szCs w:val="22"/>
        </w:rPr>
      </w:r>
    </w:p>
    <w:tbl>
      <w:tblPr>
        <w:tblW w:w="963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26"/>
        <w:gridCol w:w="4805"/>
      </w:tblGrid>
      <w:tr>
        <w:trPr>
          <w:trHeight w:val="269" w:hRule="atLeast"/>
        </w:trPr>
        <w:tc>
          <w:tcPr>
            <w:tcW w:w="4826" w:type="dxa"/>
            <w:tcBorders/>
          </w:tcPr>
          <w:p>
            <w:pPr>
              <w:pStyle w:val="Normal"/>
              <w:widowControl w:val="false"/>
              <w:rPr>
                <w:b/>
                <w:sz w:val="24"/>
              </w:rPr>
            </w:pPr>
            <w:r>
              <w:rPr>
                <w:b/>
                <w:sz w:val="24"/>
              </w:rPr>
              <w:t>Покупатель:</w:t>
            </w:r>
          </w:p>
        </w:tc>
        <w:tc>
          <w:tcPr>
            <w:tcW w:w="4805" w:type="dxa"/>
            <w:tcBorders/>
          </w:tcPr>
          <w:p>
            <w:pPr>
              <w:pStyle w:val="Normal"/>
              <w:widowControl w:val="false"/>
              <w:rPr>
                <w:b/>
                <w:sz w:val="24"/>
              </w:rPr>
            </w:pPr>
            <w:r>
              <w:rPr>
                <w:b/>
                <w:sz w:val="24"/>
              </w:rPr>
              <w:t>Поставщик:</w:t>
            </w:r>
          </w:p>
        </w:tc>
      </w:tr>
    </w:tbl>
    <w:p>
      <w:pPr>
        <w:pStyle w:val="Normal"/>
        <w:rPr/>
      </w:pPr>
      <w:r>
        <w:rPr/>
      </w:r>
    </w:p>
    <w:p>
      <w:pPr>
        <w:pStyle w:val="Normal"/>
        <w:rPr/>
      </w:pPr>
      <w:r>
        <w:rPr/>
        <w:t xml:space="preserve"> </w:t>
      </w:r>
      <w:r>
        <w:rPr/>
        <w:t>__________ /__________</w:t>
        <w:tab/>
        <w:t xml:space="preserve">                                          ___________ /___________</w:t>
      </w:r>
    </w:p>
    <w:p>
      <w:pPr>
        <w:pStyle w:val="Normal"/>
        <w:rPr>
          <w:i/>
          <w:i/>
          <w:sz w:val="24"/>
          <w:szCs w:val="24"/>
          <w:highlight w:val="yellow"/>
        </w:rPr>
      </w:pPr>
      <w:r>
        <w:rPr>
          <w:i/>
          <w:sz w:val="24"/>
          <w:szCs w:val="24"/>
          <w:highlight w:val="yellow"/>
        </w:rPr>
      </w:r>
    </w:p>
    <w:p>
      <w:pPr>
        <w:pStyle w:val="Normal"/>
        <w:widowControl/>
        <w:rPr>
          <w:sz w:val="22"/>
          <w:szCs w:val="22"/>
        </w:rPr>
      </w:pPr>
      <w:r>
        <w:rPr>
          <w:sz w:val="22"/>
          <w:szCs w:val="22"/>
        </w:rPr>
      </w:r>
      <w:r>
        <w:br w:type="page"/>
      </w:r>
    </w:p>
    <w:p>
      <w:pPr>
        <w:pStyle w:val="Normal"/>
        <w:suppressAutoHyphens w:val="true"/>
        <w:ind w:right="96" w:firstLine="5103"/>
        <w:rPr>
          <w:sz w:val="22"/>
          <w:szCs w:val="22"/>
        </w:rPr>
      </w:pPr>
      <w:r>
        <w:rPr>
          <w:sz w:val="22"/>
          <w:szCs w:val="22"/>
        </w:rPr>
        <w:t>Приложение № 2</w:t>
      </w:r>
    </w:p>
    <w:p>
      <w:pPr>
        <w:pStyle w:val="Normal"/>
        <w:suppressAutoHyphens w:val="true"/>
        <w:ind w:right="96" w:firstLine="5103"/>
        <w:rPr>
          <w:sz w:val="22"/>
          <w:szCs w:val="22"/>
        </w:rPr>
      </w:pPr>
      <w:r>
        <w:rPr>
          <w:sz w:val="22"/>
          <w:szCs w:val="22"/>
        </w:rPr>
        <w:t xml:space="preserve">к Договору поставки </w:t>
      </w:r>
    </w:p>
    <w:p>
      <w:pPr>
        <w:pStyle w:val="Normal"/>
        <w:suppressAutoHyphens w:val="true"/>
        <w:ind w:right="96" w:firstLine="5103"/>
        <w:rPr>
          <w:sz w:val="22"/>
          <w:szCs w:val="22"/>
        </w:rPr>
      </w:pPr>
      <w:r>
        <w:rPr>
          <w:sz w:val="22"/>
          <w:szCs w:val="22"/>
        </w:rPr>
        <w:t>от «____» __________ 20 _ г. № _____</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suppressAutoHyphens w:val="true"/>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suppressAutoHyphens w:val="true"/>
        <w:ind w:right="96" w:firstLine="5529"/>
        <w:rPr>
          <w:sz w:val="22"/>
          <w:szCs w:val="22"/>
        </w:rPr>
      </w:pPr>
      <w:r>
        <w:rPr>
          <w:sz w:val="22"/>
          <w:szCs w:val="22"/>
        </w:rPr>
        <w:t>Приложение № 3</w:t>
      </w:r>
    </w:p>
    <w:p>
      <w:pPr>
        <w:pStyle w:val="Normal"/>
        <w:suppressAutoHyphens w:val="true"/>
        <w:ind w:right="96" w:firstLine="5529"/>
        <w:rPr>
          <w:sz w:val="22"/>
          <w:szCs w:val="22"/>
        </w:rPr>
      </w:pPr>
      <w:r>
        <w:rPr>
          <w:sz w:val="22"/>
          <w:szCs w:val="22"/>
        </w:rPr>
        <w:t>к Договору поставки</w:t>
      </w:r>
    </w:p>
    <w:p>
      <w:pPr>
        <w:pStyle w:val="Normal"/>
        <w:ind w:firstLine="5529"/>
        <w:rPr>
          <w:bCs/>
          <w:sz w:val="22"/>
          <w:szCs w:val="22"/>
        </w:rPr>
      </w:pPr>
      <w:r>
        <w:rPr>
          <w:sz w:val="22"/>
          <w:szCs w:val="22"/>
        </w:rPr>
        <w:t>от «____» __________ 20 _ г.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t>Критерии отбора Банков – Гарантов</w:t>
      </w:r>
      <w:r>
        <w:rPr>
          <w:rStyle w:val="FootnoteReference"/>
          <w:b/>
          <w:bCs/>
          <w:sz w:val="24"/>
          <w:szCs w:val="24"/>
        </w:rPr>
        <w:footnoteReference w:id="11"/>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tabs>
          <w:tab w:val="clear" w:pos="709"/>
          <w:tab w:val="left" w:pos="1134" w:leader="none"/>
        </w:tabs>
        <w:ind w:firstLine="709"/>
        <w:jc w:val="both"/>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FootnoteReference"/>
          <w:sz w:val="24"/>
          <w:szCs w:val="24"/>
          <w:vertAlign w:val="superscript"/>
          <w:lang w:val="en-GB"/>
        </w:rPr>
        <w:footnoteReference w:id="12"/>
      </w:r>
      <w:r>
        <w:rPr>
          <w:sz w:val="24"/>
          <w:szCs w:val="24"/>
        </w:rPr>
        <w:t>, а также соответствовать следующим критериям:</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widowControl/>
        <w:numPr>
          <w:ilvl w:val="1"/>
          <w:numId w:val="13"/>
        </w:numPr>
        <w:tabs>
          <w:tab w:val="clear" w:pos="709"/>
          <w:tab w:val="left" w:pos="1134" w:leader="none"/>
        </w:tabs>
        <w:ind w:left="0" w:firstLine="710"/>
        <w:jc w:val="both"/>
        <w:rPr>
          <w:sz w:val="24"/>
          <w:szCs w:val="24"/>
        </w:rPr>
      </w:pPr>
      <w:r>
        <w:rPr>
          <w:sz w:val="24"/>
          <w:szCs w:val="24"/>
        </w:rPr>
        <w:t>Присутствовать в Перечне кредитных организаций, соответствующих требованиям, установленным ч. 1 ст. 2 Федерального закона от 21.07.2014 №</w:t>
      </w:r>
      <w:r>
        <w:rPr>
          <w:sz w:val="24"/>
          <w:szCs w:val="24"/>
          <w:lang w:val="en-GB"/>
        </w:rPr>
        <w:t> </w:t>
      </w:r>
      <w:r>
        <w:rPr>
          <w:sz w:val="24"/>
          <w:szCs w:val="24"/>
        </w:rPr>
        <w:t xml:space="preserve">213-ФЗ </w:t>
        <w:br/>
        <w: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w:t>
        <w:br/>
        <w:t>213-ФЗ).</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собственные средства (капитал) в размере не менее 25 млрд. рублей на 01 января текущего календарного года по данным отчетности (в соответствии с кодом формы по ОКУД 0409123</w:t>
      </w:r>
      <w:r>
        <w:rPr>
          <w:rFonts w:eastAsia="Times New Roman" w:cs="Times New Roman"/>
          <w:color w:val="auto"/>
          <w:kern w:val="0"/>
          <w:sz w:val="24"/>
          <w:szCs w:val="24"/>
          <w:lang w:val="ru-RU" w:eastAsia="ru-RU" w:bidi="ar-SA"/>
        </w:rPr>
        <w:t xml:space="preserve">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w:t>
      </w:r>
      <w:r>
        <w:rPr>
          <w:sz w:val="24"/>
          <w:szCs w:val="24"/>
        </w:rPr>
        <w:t>, опубликованной в информационно-телекоммуникационной сети «Интернет» (</w:t>
      </w:r>
      <w:hyperlink r:id="rId5">
        <w:r>
          <w:rPr>
            <w:rStyle w:val="Hyperlink"/>
            <w:rFonts w:eastAsia="Times New Roman" w:cs="Times New Roman"/>
            <w:color w:val="auto"/>
            <w:sz w:val="24"/>
            <w:szCs w:val="24"/>
            <w:lang w:val="ru-RU" w:eastAsia="ru-RU" w:bidi="ar-SA"/>
          </w:rPr>
          <w:t>www.cbr.ru</w:t>
        </w:r>
      </w:hyperlink>
      <w:r>
        <w:rPr>
          <w:sz w:val="24"/>
          <w:szCs w:val="24"/>
        </w:rPr>
        <w:t xml:space="preserve">) на официальных сайтах ЦБ РФ и/ или кредитной организации либо представленной кредитной </w:t>
      </w:r>
      <w:r>
        <w:rPr>
          <w:rFonts w:eastAsia="Times New Roman" w:cs="Times New Roman"/>
          <w:color w:val="auto"/>
          <w:kern w:val="0"/>
          <w:sz w:val="24"/>
          <w:szCs w:val="24"/>
          <w:lang w:val="ru-RU" w:eastAsia="ru-RU" w:bidi="ar-SA"/>
        </w:rPr>
        <w:t>организации</w:t>
      </w:r>
      <w:r>
        <w:rPr>
          <w:sz w:val="24"/>
          <w:szCs w:val="24"/>
        </w:rPr>
        <w:t xml:space="preserve"> Заказчику. </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кредитный рейтинг по национальной шкале не ниже уровня «</w:t>
      </w:r>
      <w:r>
        <w:rPr>
          <w:sz w:val="24"/>
          <w:szCs w:val="24"/>
          <w:lang w:val="en-GB"/>
        </w:rPr>
        <w:t>BBB</w:t>
      </w:r>
      <w:r>
        <w:rPr>
          <w:sz w:val="24"/>
          <w:szCs w:val="24"/>
        </w:rPr>
        <w:t>» рейтингового агентства АКРА или не ниже уровня «</w:t>
      </w:r>
      <w:r>
        <w:rPr>
          <w:sz w:val="24"/>
          <w:szCs w:val="24"/>
          <w:lang w:val="en-GB"/>
        </w:rPr>
        <w:t>ruBBB</w:t>
      </w:r>
      <w:r>
        <w:rPr>
          <w:sz w:val="24"/>
          <w:szCs w:val="24"/>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Pr>
          <w:sz w:val="24"/>
          <w:szCs w:val="24"/>
          <w:lang w:val="en-GB"/>
        </w:rPr>
        <w:t>Fitch</w:t>
      </w:r>
      <w:r>
        <w:rPr>
          <w:sz w:val="24"/>
          <w:szCs w:val="24"/>
        </w:rPr>
        <w:t>-</w:t>
      </w:r>
      <w:r>
        <w:rPr>
          <w:sz w:val="24"/>
          <w:szCs w:val="24"/>
          <w:lang w:val="en-GB"/>
        </w:rPr>
        <w:t>Ratings</w:t>
      </w:r>
      <w:r>
        <w:rPr>
          <w:sz w:val="24"/>
          <w:szCs w:val="24"/>
        </w:rPr>
        <w:t>» или «</w:t>
      </w:r>
      <w:r>
        <w:rPr>
          <w:sz w:val="24"/>
          <w:szCs w:val="24"/>
          <w:lang w:val="en-GB"/>
        </w:rPr>
        <w:t>Standard</w:t>
      </w:r>
      <w:r>
        <w:rPr>
          <w:sz w:val="24"/>
          <w:szCs w:val="24"/>
        </w:rPr>
        <w:t xml:space="preserve"> &amp; </w:t>
      </w:r>
      <w:r>
        <w:rPr>
          <w:sz w:val="24"/>
          <w:szCs w:val="24"/>
          <w:lang w:val="en-GB"/>
        </w:rPr>
        <w:t>Poor</w:t>
      </w:r>
      <w:r>
        <w:rPr>
          <w:sz w:val="24"/>
          <w:szCs w:val="24"/>
        </w:rPr>
        <w:t>'</w:t>
      </w:r>
      <w:r>
        <w:rPr>
          <w:sz w:val="24"/>
          <w:szCs w:val="24"/>
          <w:lang w:val="en-GB"/>
        </w:rPr>
        <w:t>s</w:t>
      </w:r>
      <w:r>
        <w:rPr>
          <w:sz w:val="24"/>
          <w:szCs w:val="24"/>
        </w:rPr>
        <w:t>» либо уровня «</w:t>
      </w:r>
      <w:r>
        <w:rPr>
          <w:sz w:val="24"/>
          <w:szCs w:val="24"/>
          <w:lang w:val="en-GB"/>
        </w:rPr>
        <w:t>B</w:t>
      </w:r>
      <w:r>
        <w:rPr>
          <w:sz w:val="24"/>
          <w:szCs w:val="24"/>
        </w:rPr>
        <w:t>а2» по классификации рейтингового агентства «</w:t>
      </w:r>
      <w:r>
        <w:rPr>
          <w:sz w:val="24"/>
          <w:szCs w:val="24"/>
          <w:lang w:val="en-GB"/>
        </w:rPr>
        <w:t>Moody</w:t>
      </w:r>
      <w:r>
        <w:rPr>
          <w:sz w:val="24"/>
          <w:szCs w:val="24"/>
        </w:rPr>
        <w:t>'</w:t>
      </w:r>
      <w:r>
        <w:rPr>
          <w:sz w:val="24"/>
          <w:szCs w:val="24"/>
          <w:lang w:val="en-GB"/>
        </w:rPr>
        <w:t>s</w:t>
      </w:r>
      <w:r>
        <w:rPr>
          <w:sz w:val="24"/>
          <w:szCs w:val="24"/>
        </w:rPr>
        <w:t xml:space="preserve"> </w:t>
      </w:r>
      <w:r>
        <w:rPr>
          <w:sz w:val="24"/>
          <w:szCs w:val="24"/>
          <w:lang w:val="en-GB"/>
        </w:rPr>
        <w:t>Investors</w:t>
      </w:r>
      <w:r>
        <w:rPr>
          <w:sz w:val="24"/>
          <w:szCs w:val="24"/>
        </w:rPr>
        <w:t xml:space="preserve"> </w:t>
      </w:r>
      <w:r>
        <w:rPr>
          <w:sz w:val="24"/>
          <w:szCs w:val="24"/>
          <w:lang w:val="en-GB"/>
        </w:rPr>
        <w:t>Service</w:t>
      </w:r>
      <w:r>
        <w:rPr>
          <w:sz w:val="24"/>
          <w:szCs w:val="24"/>
        </w:rPr>
        <w:t>»</w:t>
      </w:r>
      <w:r>
        <w:rPr>
          <w:rStyle w:val="FootnoteReference"/>
          <w:sz w:val="24"/>
          <w:szCs w:val="24"/>
          <w:vertAlign w:val="superscript"/>
          <w:lang w:val="en-GB"/>
        </w:rPr>
        <w:footnoteReference w:id="13"/>
      </w:r>
      <w:r>
        <w:rPr>
          <w:sz w:val="24"/>
          <w:szCs w:val="24"/>
        </w:rPr>
        <w:t xml:space="preserve">. </w:t>
      </w:r>
    </w:p>
    <w:p>
      <w:pPr>
        <w:pStyle w:val="Normal"/>
        <w:widowControl/>
        <w:numPr>
          <w:ilvl w:val="1"/>
          <w:numId w:val="13"/>
        </w:numPr>
        <w:tabs>
          <w:tab w:val="clear" w:pos="709"/>
          <w:tab w:val="left" w:pos="1134" w:leader="none"/>
        </w:tabs>
        <w:ind w:left="0" w:firstLine="710"/>
        <w:jc w:val="both"/>
        <w:rPr>
          <w:sz w:val="24"/>
          <w:szCs w:val="24"/>
        </w:rPr>
      </w:pPr>
      <w:r>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w:t>
      </w:r>
      <w:r>
        <w:rPr>
          <w:sz w:val="24"/>
          <w:szCs w:val="24"/>
          <w:lang w:val="en-GB"/>
        </w:rPr>
        <w:t> </w:t>
      </w:r>
      <w:r>
        <w:rPr>
          <w:sz w:val="24"/>
          <w:szCs w:val="24"/>
        </w:rPr>
        <w:t>177-ФЗ «О страховании вкладов в банках Российской Федерации»</w:t>
      </w:r>
      <w:r>
        <w:rPr>
          <w:rStyle w:val="FootnoteReference"/>
          <w:sz w:val="24"/>
          <w:szCs w:val="24"/>
          <w:vertAlign w:val="superscript"/>
          <w:lang w:val="en-GB"/>
        </w:rPr>
        <w:footnoteReference w:id="14"/>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sz w:val="24"/>
          <w:szCs w:val="24"/>
          <w:lang w:val="en-GB"/>
        </w:rPr>
        <w:t>http</w:t>
      </w:r>
      <w:r>
        <w:rPr>
          <w:sz w:val="24"/>
          <w:szCs w:val="24"/>
        </w:rPr>
        <w:t>://</w:t>
      </w:r>
      <w:r>
        <w:rPr>
          <w:sz w:val="24"/>
          <w:szCs w:val="24"/>
          <w:lang w:val="en-GB"/>
        </w:rPr>
        <w:t>www</w:t>
      </w:r>
      <w:r>
        <w:rPr>
          <w:sz w:val="24"/>
          <w:szCs w:val="24"/>
        </w:rPr>
        <w:t>.</w:t>
      </w:r>
      <w:r>
        <w:rPr>
          <w:sz w:val="24"/>
          <w:szCs w:val="24"/>
          <w:lang w:val="en-GB"/>
        </w:rPr>
        <w:t>asv</w:t>
      </w:r>
      <w:r>
        <w:rPr>
          <w:sz w:val="24"/>
          <w:szCs w:val="24"/>
        </w:rPr>
        <w:t>.</w:t>
      </w:r>
      <w:r>
        <w:rPr>
          <w:sz w:val="24"/>
          <w:szCs w:val="24"/>
          <w:lang w:val="en-GB"/>
        </w:rPr>
        <w:t>org</w:t>
      </w:r>
      <w:r>
        <w:rPr>
          <w:sz w:val="24"/>
          <w:szCs w:val="24"/>
        </w:rPr>
        <w:t>.</w:t>
      </w:r>
      <w:r>
        <w:rPr>
          <w:sz w:val="24"/>
          <w:szCs w:val="24"/>
          <w:lang w:val="en-GB"/>
        </w:rPr>
        <w:t>ru</w:t>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Не иметь просроченную задолженность перед Заказчиком и компаниями Группы РусГидро.</w:t>
      </w:r>
    </w:p>
    <w:p>
      <w:pPr>
        <w:pStyle w:val="Normal"/>
        <w:widowControl/>
        <w:numPr>
          <w:ilvl w:val="1"/>
          <w:numId w:val="13"/>
        </w:numPr>
        <w:tabs>
          <w:tab w:val="clear" w:pos="709"/>
          <w:tab w:val="left" w:pos="1134" w:leader="none"/>
        </w:tabs>
        <w:ind w:left="0" w:firstLine="710"/>
        <w:jc w:val="both"/>
        <w:rPr>
          <w:sz w:val="24"/>
          <w:szCs w:val="24"/>
        </w:rPr>
      </w:pPr>
      <w:r>
        <w:rPr>
          <w:sz w:val="24"/>
          <w:szCs w:val="24"/>
        </w:rPr>
        <w:t>Присутствовать (иметь отделение, филиал) по месту нахождения Заказчика, его обособленного подразделения или Филиала, для нужд которого заключается Договор</w:t>
      </w:r>
      <w:r>
        <w:rPr>
          <w:rStyle w:val="FootnoteReference"/>
          <w:sz w:val="24"/>
          <w:szCs w:val="24"/>
          <w:vertAlign w:val="superscript"/>
          <w:lang w:val="en-GB"/>
        </w:rPr>
        <w:footnoteReference w:id="15"/>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 xml:space="preserve">Требования, установленные пунктами 2 – 4 настоящих Критериев, </w:t>
        <w:br/>
        <w:t>не распространяются на кредитные организации:</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 xml:space="preserve">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w:t>
        <w:br/>
        <w:t xml:space="preserve">в которой могут размещаться средства федерального бюджета на банковских депозитах </w:t>
        <w:br/>
        <w:t>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 xml:space="preserve">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w:t>
        <w:br/>
        <w:t>и Указом Президента Российской Федерации от 05.06.2015 № 287 «О мерах по дальнейшему развитию малого и среднего предпринимательства».</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widowControl/>
        <w:numPr>
          <w:ilvl w:val="1"/>
          <w:numId w:val="14"/>
        </w:numPr>
        <w:tabs>
          <w:tab w:val="clear" w:pos="709"/>
          <w:tab w:val="left" w:pos="1134" w:leader="none"/>
        </w:tabs>
        <w:ind w:left="0" w:firstLine="709"/>
        <w:jc w:val="both"/>
        <w:rPr>
          <w:sz w:val="24"/>
          <w:szCs w:val="24"/>
          <w:lang w:val="en-GB"/>
        </w:rPr>
      </w:pPr>
      <w:r>
        <w:rPr>
          <w:sz w:val="24"/>
          <w:szCs w:val="24"/>
        </w:rPr>
        <w:t xml:space="preserve"> </w:t>
      </w:r>
      <w:r>
        <w:rPr>
          <w:sz w:val="24"/>
          <w:szCs w:val="24"/>
          <w:lang w:val="en-GB"/>
        </w:rPr>
        <w:t>ВЭБ.РФ.</w:t>
      </w:r>
    </w:p>
    <w:p>
      <w:pPr>
        <w:pStyle w:val="Normal"/>
        <w:numPr>
          <w:ilvl w:val="1"/>
          <w:numId w:val="14"/>
        </w:numPr>
        <w:tabs>
          <w:tab w:val="clear" w:pos="709"/>
          <w:tab w:val="left" w:pos="1134" w:leader="none"/>
        </w:tabs>
        <w:spacing w:lineRule="auto" w:line="240"/>
        <w:ind w:left="0" w:firstLine="709"/>
        <w:rPr>
          <w:sz w:val="24"/>
          <w:szCs w:val="24"/>
        </w:rPr>
      </w:pPr>
      <w:r>
        <w:rPr>
          <w:sz w:val="24"/>
          <w:szCs w:val="24"/>
          <w:lang w:val="en-GB"/>
        </w:rPr>
        <w:t>Нерезидентов Российской Федерации.</w:t>
      </w:r>
    </w:p>
    <w:p>
      <w:pPr>
        <w:pStyle w:val="Normal"/>
        <w:widowControl/>
        <w:numPr>
          <w:ilvl w:val="1"/>
          <w:numId w:val="13"/>
        </w:numPr>
        <w:tabs>
          <w:tab w:val="clear" w:pos="709"/>
          <w:tab w:val="left" w:pos="1134" w:leader="none"/>
        </w:tabs>
        <w:ind w:left="0" w:firstLine="710"/>
        <w:jc w:val="both"/>
        <w:rPr>
          <w:sz w:val="24"/>
          <w:szCs w:val="24"/>
        </w:rPr>
      </w:pPr>
      <w:r>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134" w:leader="none"/>
        </w:tabs>
        <w:ind w:firstLine="709"/>
        <w:jc w:val="center"/>
        <w:rPr>
          <w:sz w:val="24"/>
          <w:szCs w:val="24"/>
          <w:lang w:val="en-GB"/>
        </w:rPr>
      </w:pPr>
      <w:r>
        <w:rPr>
          <w:b/>
          <w:i/>
          <w:sz w:val="24"/>
          <w:szCs w:val="24"/>
          <w:lang w:val="en-GB"/>
        </w:rPr>
        <w:t>Lim</w:t>
      </w:r>
      <w:r>
        <w:rPr>
          <w:b/>
          <w:i/>
          <w:sz w:val="24"/>
          <w:szCs w:val="24"/>
          <w:vertAlign w:val="subscript"/>
          <w:lang w:val="en-GB"/>
        </w:rPr>
        <w:t>Ai</w:t>
      </w:r>
      <w:r>
        <w:rPr>
          <w:b/>
          <w:i/>
          <w:sz w:val="24"/>
          <w:szCs w:val="24"/>
          <w:lang w:val="en-GB"/>
        </w:rPr>
        <w:t xml:space="preserve">  = r</w:t>
      </w:r>
      <w:r>
        <w:rPr>
          <w:b/>
          <w:i/>
          <w:sz w:val="24"/>
          <w:szCs w:val="24"/>
          <w:vertAlign w:val="subscript"/>
          <w:lang w:val="en-GB"/>
        </w:rPr>
        <w:t>i</w:t>
      </w:r>
      <w:r>
        <w:rPr>
          <w:b/>
          <w:i/>
          <w:sz w:val="24"/>
          <w:szCs w:val="24"/>
          <w:lang w:val="en-GB"/>
        </w:rPr>
        <w:t xml:space="preserve"> × СK</w:t>
      </w:r>
      <w:r>
        <w:rPr>
          <w:b/>
          <w:i/>
          <w:sz w:val="24"/>
          <w:szCs w:val="24"/>
          <w:vertAlign w:val="subscript"/>
          <w:lang w:val="en-GB"/>
        </w:rPr>
        <w:t>i</w:t>
      </w:r>
      <w:r>
        <w:rPr>
          <w:sz w:val="24"/>
          <w:szCs w:val="24"/>
          <w:lang w:val="en-GB"/>
        </w:rPr>
        <w:t>, где</w:t>
      </w:r>
    </w:p>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134" w:leader="none"/>
        </w:tabs>
        <w:ind w:firstLine="709"/>
        <w:jc w:val="center"/>
        <w:rPr>
          <w:sz w:val="24"/>
          <w:szCs w:val="24"/>
          <w:lang w:val="en-GB"/>
        </w:rPr>
      </w:pPr>
      <w:r>
        <w:rPr>
          <w:sz w:val="24"/>
          <w:szCs w:val="24"/>
          <w:lang w:val="en-GB"/>
        </w:rPr>
      </w:r>
    </w:p>
    <w:tbl>
      <w:tblPr>
        <w:tblW w:w="960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817"/>
        <w:gridCol w:w="280"/>
        <w:gridCol w:w="8509"/>
      </w:tblGrid>
      <w:tr>
        <w:trPr>
          <w:trHeight w:val="426" w:hRule="atLeast"/>
        </w:trPr>
        <w:tc>
          <w:tcPr>
            <w:tcW w:w="817" w:type="dxa"/>
            <w:tcBorders/>
            <w:shd w:color="auto" w:fill="auto" w:val="clear"/>
          </w:tcPr>
          <w:p>
            <w:pPr>
              <w:pStyle w:val="Normal"/>
              <w:widowControl w:val="false"/>
              <w:spacing w:lineRule="auto" w:line="240"/>
              <w:ind w:left="0" w:right="-108" w:hanging="0"/>
              <w:rPr>
                <w:color w:val="000000"/>
                <w:sz w:val="24"/>
                <w:szCs w:val="24"/>
              </w:rPr>
            </w:pPr>
            <w:r>
              <w:rPr>
                <w:b/>
                <w:i/>
                <w:color w:val="000000"/>
                <w:sz w:val="24"/>
                <w:szCs w:val="24"/>
              </w:rPr>
              <w:t>Lim</w:t>
            </w:r>
            <w:r>
              <w:rPr>
                <w:b/>
                <w:i/>
                <w:color w:val="000000"/>
                <w:sz w:val="24"/>
                <w:szCs w:val="24"/>
                <w:vertAlign w:val="subscript"/>
                <w:lang w:val="en-US"/>
              </w:rPr>
              <w:t xml:space="preserve">Ai </w:t>
            </w:r>
          </w:p>
        </w:tc>
        <w:tc>
          <w:tcPr>
            <w:tcW w:w="280" w:type="dxa"/>
            <w:tcBorders/>
            <w:shd w:color="auto" w:fill="auto" w:val="clear"/>
          </w:tcPr>
          <w:p>
            <w:pPr>
              <w:pStyle w:val="Normal"/>
              <w:widowControl w:val="false"/>
              <w:spacing w:lineRule="auto" w:line="240"/>
              <w:ind w:left="317" w:right="-108" w:hanging="317"/>
              <w:rPr>
                <w:color w:val="000000"/>
                <w:sz w:val="24"/>
                <w:szCs w:val="24"/>
              </w:rPr>
            </w:pPr>
            <w:r>
              <w:rPr>
                <w:sz w:val="24"/>
                <w:szCs w:val="24"/>
              </w:rPr>
              <w:t xml:space="preserve">-  </w:t>
            </w:r>
          </w:p>
        </w:tc>
        <w:tc>
          <w:tcPr>
            <w:tcW w:w="8509" w:type="dxa"/>
            <w:tcBorders/>
            <w:shd w:color="auto" w:fill="auto" w:val="clear"/>
          </w:tcPr>
          <w:p>
            <w:pPr>
              <w:pStyle w:val="Normal"/>
              <w:widowControl w:val="false"/>
              <w:spacing w:lineRule="auto" w:line="240"/>
              <w:ind w:left="-75" w:right="-108" w:firstLine="567"/>
              <w:rPr>
                <w:color w:val="000000"/>
                <w:sz w:val="24"/>
                <w:szCs w:val="24"/>
              </w:rPr>
            </w:pPr>
            <w:r>
              <w:rPr>
                <w:rFonts w:eastAsia="Times New Roman" w:cs="Times New Roman"/>
                <w:sz w:val="24"/>
                <w:szCs w:val="24"/>
                <w:lang w:eastAsia="ru-RU"/>
              </w:rPr>
              <w:t>Лимит риска для i-ой кредитной организации</w:t>
            </w:r>
            <w:r>
              <w:rPr>
                <w:rStyle w:val="FootnoteReference"/>
                <w:rFonts w:eastAsia="Times New Roman" w:cs="Times New Roman"/>
                <w:sz w:val="24"/>
                <w:szCs w:val="24"/>
                <w:lang w:eastAsia="ru-RU"/>
              </w:rPr>
              <w:footnoteReference w:id="16"/>
            </w:r>
            <w:r>
              <w:rPr>
                <w:rFonts w:eastAsia="Times New Roman" w:cs="Times New Roman"/>
                <w:sz w:val="24"/>
                <w:szCs w:val="24"/>
                <w:lang w:eastAsia="ru-RU"/>
              </w:rPr>
              <w:t>.</w:t>
            </w:r>
          </w:p>
        </w:tc>
      </w:tr>
      <w:tr>
        <w:trPr>
          <w:trHeight w:val="280" w:hRule="atLeast"/>
        </w:trPr>
        <w:tc>
          <w:tcPr>
            <w:tcW w:w="817" w:type="dxa"/>
            <w:tcBorders/>
            <w:shd w:color="auto" w:fill="auto" w:val="clear"/>
          </w:tcPr>
          <w:p>
            <w:pPr>
              <w:pStyle w:val="Normal"/>
              <w:widowControl w:val="false"/>
              <w:spacing w:lineRule="auto" w:line="240"/>
              <w:ind w:left="0" w:right="-108" w:hanging="0"/>
              <w:rPr>
                <w:b/>
                <w:i/>
                <w:i/>
                <w:color w:val="000000"/>
                <w:sz w:val="24"/>
                <w:szCs w:val="24"/>
                <w:vertAlign w:val="subscript"/>
              </w:rPr>
            </w:pPr>
            <w:r>
              <w:rPr>
                <w:b/>
                <w:i/>
                <w:color w:val="000000"/>
                <w:sz w:val="24"/>
                <w:szCs w:val="24"/>
              </w:rPr>
              <w:t>С</w:t>
            </w:r>
            <w:r>
              <w:rPr>
                <w:b/>
                <w:i/>
                <w:color w:val="000000"/>
                <w:sz w:val="24"/>
                <w:szCs w:val="24"/>
                <w:lang w:val="en-US"/>
              </w:rPr>
              <w:t>K</w:t>
            </w:r>
            <w:r>
              <w:rPr>
                <w:b/>
                <w:i/>
                <w:color w:val="000000"/>
                <w:sz w:val="24"/>
                <w:szCs w:val="24"/>
                <w:vertAlign w:val="subscript"/>
                <w:lang w:val="en-US"/>
              </w:rPr>
              <w:t>i</w:t>
            </w:r>
          </w:p>
          <w:p>
            <w:pPr>
              <w:pStyle w:val="Normal"/>
              <w:widowControl w:val="false"/>
              <w:spacing w:lineRule="auto" w:line="240"/>
              <w:ind w:left="0" w:right="-108" w:firstLine="567"/>
              <w:rPr>
                <w:color w:val="000000"/>
                <w:sz w:val="24"/>
                <w:szCs w:val="24"/>
              </w:rPr>
            </w:pPr>
            <w:r>
              <w:rPr>
                <w:color w:val="000000"/>
                <w:sz w:val="24"/>
                <w:szCs w:val="24"/>
              </w:rPr>
            </w:r>
          </w:p>
        </w:tc>
        <w:tc>
          <w:tcPr>
            <w:tcW w:w="280" w:type="dxa"/>
            <w:tcBorders/>
            <w:shd w:color="auto" w:fill="auto" w:val="clear"/>
          </w:tcPr>
          <w:p>
            <w:pPr>
              <w:pStyle w:val="Normal"/>
              <w:widowControl w:val="false"/>
              <w:spacing w:lineRule="auto" w:line="240"/>
              <w:ind w:left="0" w:right="-108" w:hanging="0"/>
              <w:rPr>
                <w:color w:val="000000"/>
                <w:sz w:val="24"/>
                <w:szCs w:val="24"/>
              </w:rPr>
            </w:pPr>
            <w:r>
              <w:rPr>
                <w:sz w:val="24"/>
                <w:szCs w:val="24"/>
              </w:rPr>
              <w:t>-</w:t>
            </w:r>
            <w:r>
              <w:rPr>
                <w:color w:val="000000"/>
                <w:sz w:val="24"/>
                <w:szCs w:val="24"/>
              </w:rPr>
              <w:t xml:space="preserve">  </w:t>
            </w:r>
          </w:p>
        </w:tc>
        <w:tc>
          <w:tcPr>
            <w:tcW w:w="8509" w:type="dxa"/>
            <w:tcBorders/>
            <w:shd w:color="auto" w:fill="auto" w:val="clear"/>
          </w:tcPr>
          <w:p>
            <w:pPr>
              <w:pStyle w:val="Normal"/>
              <w:widowControl w:val="false"/>
              <w:spacing w:lineRule="auto" w:line="240"/>
              <w:ind w:left="-75" w:right="-108" w:firstLine="567"/>
              <w:rPr>
                <w:color w:val="000000"/>
                <w:sz w:val="24"/>
                <w:szCs w:val="24"/>
              </w:rPr>
            </w:pPr>
            <w:r>
              <w:rPr>
                <w:rFonts w:eastAsia="Times New Roman" w:cs="Times New Roman"/>
                <w:sz w:val="24"/>
                <w:szCs w:val="24"/>
                <w:lang w:eastAsia="ru-RU"/>
              </w:rPr>
              <w:t xml:space="preserve">размер собственных средств (капитала) i-ой кредитной организации </w:t>
              <w:br/>
              <w:t xml:space="preserve">на 1 января текущего календарного года по данным отчетности </w:t>
              <w:br/>
              <w:t>(в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6">
              <w:r>
                <w:rPr>
                  <w:rStyle w:val="Hyperlink"/>
                  <w:rFonts w:eastAsia="Times New Roman" w:cs="Times New Roman"/>
                  <w:sz w:val="24"/>
                  <w:szCs w:val="24"/>
                  <w:lang w:eastAsia="ru-RU"/>
                </w:rPr>
                <w:t>www.cbr.ru</w:t>
              </w:r>
            </w:hyperlink>
            <w:r>
              <w:rPr>
                <w:rFonts w:eastAsia="Times New Roman" w:cs="Times New Roman"/>
                <w:sz w:val="24"/>
                <w:szCs w:val="24"/>
                <w:lang w:eastAsia="ru-RU"/>
              </w:rPr>
              <w:t>) на официальных сайтах ЦБ РФ и / или кредитной организации либо представленной кредитной организацией Обществу;</w:t>
            </w:r>
          </w:p>
        </w:tc>
      </w:tr>
      <w:tr>
        <w:trPr>
          <w:trHeight w:val="3894" w:hRule="atLeast"/>
        </w:trPr>
        <w:tc>
          <w:tcPr>
            <w:tcW w:w="817" w:type="dxa"/>
            <w:tcBorders/>
          </w:tcPr>
          <w:p>
            <w:pPr>
              <w:pStyle w:val="Normal"/>
              <w:widowControl w:val="false"/>
              <w:spacing w:lineRule="auto" w:line="240"/>
              <w:ind w:left="0" w:right="-108" w:hanging="0"/>
              <w:rPr>
                <w:b/>
                <w:i/>
                <w:i/>
                <w:color w:val="000000"/>
                <w:sz w:val="24"/>
                <w:szCs w:val="24"/>
              </w:rPr>
            </w:pPr>
            <w:r>
              <w:rPr>
                <w:b/>
                <w:i/>
                <w:color w:val="000000"/>
                <w:sz w:val="24"/>
                <w:szCs w:val="24"/>
              </w:rPr>
              <w:t>r</w:t>
            </w:r>
            <w:r>
              <w:rPr>
                <w:b/>
                <w:i/>
                <w:color w:val="000000"/>
                <w:sz w:val="24"/>
                <w:szCs w:val="24"/>
                <w:vertAlign w:val="subscript"/>
              </w:rPr>
              <w:t>i</w:t>
            </w:r>
          </w:p>
        </w:tc>
        <w:tc>
          <w:tcPr>
            <w:tcW w:w="280" w:type="dxa"/>
            <w:tcBorders/>
          </w:tcPr>
          <w:p>
            <w:pPr>
              <w:pStyle w:val="Normal"/>
              <w:widowControl w:val="false"/>
              <w:spacing w:lineRule="auto" w:line="240"/>
              <w:ind w:left="0" w:right="-108" w:hanging="0"/>
              <w:rPr>
                <w:sz w:val="24"/>
                <w:szCs w:val="24"/>
              </w:rPr>
            </w:pPr>
            <w:r>
              <w:rPr>
                <w:sz w:val="24"/>
                <w:szCs w:val="24"/>
              </w:rPr>
              <w:t>-</w:t>
            </w:r>
          </w:p>
        </w:tc>
        <w:tc>
          <w:tcPr>
            <w:tcW w:w="8509" w:type="dxa"/>
            <w:tcBorders/>
          </w:tcPr>
          <w:p>
            <w:pPr>
              <w:pStyle w:val="Normal"/>
              <w:widowControl w:val="false"/>
              <w:tabs>
                <w:tab w:val="left" w:pos="709" w:leader="none"/>
                <w:tab w:val="left" w:pos="851" w:leader="none"/>
              </w:tabs>
              <w:suppressAutoHyphens w:val="true"/>
              <w:overflowPunct w:val="false"/>
              <w:bidi w:val="0"/>
              <w:spacing w:lineRule="auto" w:line="240" w:before="0" w:after="0"/>
              <w:ind w:left="680" w:right="0" w:hanging="0"/>
              <w:jc w:val="both"/>
              <w:rPr/>
            </w:pPr>
            <w:r>
              <w:rPr>
                <w:rFonts w:eastAsia="Times New Roman" w:cs="Times New Roman"/>
                <w:sz w:val="24"/>
                <w:szCs w:val="24"/>
                <w:lang w:eastAsia="ru-RU"/>
              </w:rPr>
              <w:t>рейтинговый коэффициент</w:t>
            </w:r>
            <w:r>
              <w:rPr>
                <w:rStyle w:val="FootnoteReference"/>
                <w:rFonts w:eastAsia="Times New Roman" w:cs="Times New Roman"/>
                <w:sz w:val="24"/>
                <w:szCs w:val="24"/>
                <w:lang w:eastAsia="ru-RU"/>
              </w:rPr>
              <w:footnoteReference w:id="17"/>
            </w:r>
            <w:r>
              <w:rPr>
                <w:rFonts w:eastAsia="Times New Roman" w:cs="Times New Roman"/>
                <w:sz w:val="24"/>
                <w:szCs w:val="24"/>
                <w:lang w:eastAsia="ru-RU"/>
              </w:rPr>
              <w:t xml:space="preserve"> для i-ой кредитной организации, равный:</w:t>
            </w:r>
          </w:p>
          <w:p>
            <w:pPr>
              <w:pStyle w:val="Normal"/>
              <w:widowControl w:val="false"/>
              <w:tabs>
                <w:tab w:val="left" w:pos="709" w:leader="none"/>
                <w:tab w:val="left" w:pos="851" w:leader="none"/>
              </w:tabs>
              <w:spacing w:lineRule="auto" w:line="240" w:before="0" w:after="0"/>
              <w:ind w:left="0" w:right="-108" w:firstLine="709"/>
              <w:jc w:val="both"/>
              <w:rPr>
                <w:sz w:val="24"/>
                <w:szCs w:val="24"/>
              </w:rPr>
            </w:pPr>
            <w:r>
              <w:rPr>
                <w:rFonts w:eastAsia="Times New Roman" w:cs="Times New Roman"/>
                <w:b/>
                <w:sz w:val="24"/>
                <w:szCs w:val="24"/>
                <w:lang w:eastAsia="ru-RU"/>
              </w:rPr>
              <w:t>0,075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«АА-»</w:t>
            </w:r>
            <w:r>
              <w:rPr>
                <w:rFonts w:eastAsia="Times New Roman" w:cs="Times New Roman"/>
                <w:sz w:val="24"/>
                <w:szCs w:val="24"/>
                <w:lang w:eastAsia="ru-RU"/>
              </w:rPr>
              <w:t xml:space="preserve">по классификации рейтингового агентства АКРА или не ниже уровня </w:t>
            </w:r>
            <w:r>
              <w:rPr>
                <w:rFonts w:eastAsia="Times New Roman" w:cs="Times New Roman"/>
                <w:b/>
                <w:sz w:val="24"/>
                <w:szCs w:val="24"/>
                <w:lang w:eastAsia="ru-RU"/>
              </w:rPr>
              <w:t>«</w:t>
            </w:r>
            <w:r>
              <w:rPr>
                <w:rFonts w:eastAsia="Times New Roman" w:cs="Times New Roman"/>
                <w:b/>
                <w:sz w:val="24"/>
                <w:szCs w:val="24"/>
                <w:lang w:val="en-US" w:eastAsia="ru-RU"/>
              </w:rPr>
              <w:t>ru</w:t>
            </w:r>
            <w:r>
              <w:rPr>
                <w:rFonts w:eastAsia="Times New Roman" w:cs="Times New Roman"/>
                <w:b/>
                <w:sz w:val="24"/>
                <w:szCs w:val="24"/>
                <w:lang w:eastAsia="ru-RU"/>
              </w:rPr>
              <w:t>А</w:t>
            </w:r>
            <w:r>
              <w:rPr>
                <w:rFonts w:eastAsia="Times New Roman" w:cs="Times New Roman"/>
                <w:b/>
                <w:sz w:val="24"/>
                <w:szCs w:val="24"/>
                <w:lang w:val="en-US" w:eastAsia="ru-RU"/>
              </w:rPr>
              <w:t>A</w:t>
            </w:r>
            <w:r>
              <w:rPr>
                <w:rFonts w:eastAsia="Times New Roman" w:cs="Times New Roman"/>
                <w:b/>
                <w:sz w:val="24"/>
                <w:szCs w:val="24"/>
                <w:lang w:eastAsia="ru-RU"/>
              </w:rPr>
              <w:t>-»</w:t>
            </w:r>
            <w:r>
              <w:rPr>
                <w:rFonts w:eastAsia="Times New Roman" w:cs="Times New Roman"/>
                <w:sz w:val="24"/>
                <w:szCs w:val="24"/>
                <w:lang w:eastAsia="ru-RU"/>
              </w:rPr>
              <w:t xml:space="preserve"> по классификации рейтингового агентства Эксперт РА;</w:t>
            </w:r>
          </w:p>
          <w:p>
            <w:pPr>
              <w:pStyle w:val="Normal"/>
              <w:widowControl w:val="false"/>
              <w:tabs>
                <w:tab w:val="left" w:pos="709" w:leader="none"/>
                <w:tab w:val="left" w:pos="851" w:leader="none"/>
              </w:tabs>
              <w:spacing w:lineRule="auto" w:line="240" w:before="0" w:after="0"/>
              <w:ind w:left="0" w:right="-108" w:firstLine="709"/>
              <w:jc w:val="both"/>
              <w:rPr>
                <w:sz w:val="24"/>
                <w:szCs w:val="24"/>
              </w:rPr>
            </w:pPr>
            <w:r>
              <w:rPr>
                <w:rFonts w:eastAsia="Times New Roman" w:cs="Times New Roman"/>
                <w:b/>
                <w:sz w:val="24"/>
                <w:szCs w:val="24"/>
                <w:lang w:eastAsia="ru-RU"/>
              </w:rPr>
              <w:t>0,05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«А-»</w:t>
            </w:r>
            <w:r>
              <w:rPr>
                <w:rFonts w:eastAsia="Times New Roman" w:cs="Times New Roman"/>
                <w:sz w:val="24"/>
                <w:szCs w:val="24"/>
                <w:lang w:eastAsia="ru-RU"/>
              </w:rPr>
              <w:t xml:space="preserve"> по классификации рейтингового агентства АКРА или не ниже уровня </w:t>
            </w:r>
            <w:r>
              <w:rPr>
                <w:rFonts w:eastAsia="Times New Roman" w:cs="Times New Roman"/>
                <w:b/>
                <w:sz w:val="24"/>
                <w:szCs w:val="24"/>
                <w:lang w:eastAsia="ru-RU"/>
              </w:rPr>
              <w:t>«ruA-»</w:t>
            </w:r>
            <w:r>
              <w:rPr>
                <w:rFonts w:eastAsia="Times New Roman" w:cs="Times New Roman"/>
                <w:sz w:val="24"/>
                <w:szCs w:val="24"/>
                <w:lang w:eastAsia="ru-RU"/>
              </w:rPr>
              <w:t xml:space="preserve"> по классификации рейтингового агентства Эксперт РА;</w:t>
            </w:r>
          </w:p>
          <w:p>
            <w:pPr>
              <w:pStyle w:val="Normal"/>
              <w:widowControl w:val="false"/>
              <w:tabs>
                <w:tab w:val="clear" w:pos="709"/>
                <w:tab w:val="left" w:pos="7130" w:leader="none"/>
              </w:tabs>
              <w:spacing w:lineRule="auto" w:line="240"/>
              <w:ind w:left="0" w:right="-108" w:firstLine="567"/>
              <w:rPr>
                <w:sz w:val="24"/>
                <w:szCs w:val="24"/>
              </w:rPr>
            </w:pPr>
            <w:r>
              <w:rPr>
                <w:rFonts w:eastAsia="Times New Roman" w:cs="Times New Roman"/>
                <w:b/>
                <w:sz w:val="24"/>
                <w:szCs w:val="24"/>
                <w:lang w:eastAsia="ru-RU"/>
              </w:rPr>
              <w:t>0,025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w:t>
            </w:r>
            <w:r>
              <w:rPr>
                <w:rFonts w:eastAsia="Times New Roman" w:cs="Times New Roman"/>
                <w:b/>
                <w:sz w:val="24"/>
                <w:szCs w:val="24"/>
                <w:lang w:val="en-US" w:eastAsia="ru-RU"/>
              </w:rPr>
              <w:t>BB</w:t>
            </w:r>
            <w:r>
              <w:rPr>
                <w:rFonts w:eastAsia="Times New Roman" w:cs="Times New Roman"/>
                <w:b/>
                <w:sz w:val="24"/>
                <w:szCs w:val="24"/>
                <w:lang w:eastAsia="ru-RU"/>
              </w:rPr>
              <w:t>В»</w:t>
            </w:r>
            <w:r>
              <w:rPr>
                <w:rFonts w:eastAsia="Times New Roman" w:cs="Times New Roman"/>
                <w:sz w:val="24"/>
                <w:szCs w:val="24"/>
                <w:lang w:eastAsia="ru-RU"/>
              </w:rPr>
              <w:t xml:space="preserve"> по классификации рейтингового агентства АКРА или не ниже уровня «</w:t>
            </w:r>
            <w:r>
              <w:rPr>
                <w:rFonts w:eastAsia="Times New Roman" w:cs="Times New Roman"/>
                <w:sz w:val="24"/>
                <w:szCs w:val="24"/>
                <w:lang w:val="en-US" w:eastAsia="ru-RU"/>
              </w:rPr>
              <w:t>ruBB</w:t>
            </w:r>
            <w:r>
              <w:rPr>
                <w:rFonts w:eastAsia="Times New Roman" w:cs="Times New Roman"/>
                <w:sz w:val="24"/>
                <w:szCs w:val="24"/>
                <w:lang w:eastAsia="ru-RU"/>
              </w:rPr>
              <w:t>В» по классификации рейтингового агентства Эксперт РА, а также находится в процессе финансового оздоровления (санации).</w:t>
            </w:r>
          </w:p>
        </w:tc>
      </w:tr>
    </w:tbl>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425" w:leader="none"/>
        </w:tabs>
        <w:rPr>
          <w:sz w:val="24"/>
          <w:szCs w:val="24"/>
        </w:rPr>
      </w:pPr>
      <w:r>
        <w:rPr>
          <w:sz w:val="24"/>
          <w:szCs w:val="24"/>
        </w:rPr>
      </w:r>
    </w:p>
    <w:tbl>
      <w:tblPr>
        <w:tblW w:w="1375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961"/>
        <w:gridCol w:w="8789"/>
      </w:tblGrid>
      <w:tr>
        <w:trPr/>
        <w:tc>
          <w:tcPr>
            <w:tcW w:w="4961" w:type="dxa"/>
            <w:tcBorders/>
          </w:tcPr>
          <w:p>
            <w:pPr>
              <w:pStyle w:val="Normal"/>
              <w:widowControl w:val="false"/>
              <w:rPr>
                <w:b/>
                <w:sz w:val="24"/>
                <w:szCs w:val="24"/>
                <w:lang w:val="en-GB"/>
              </w:rPr>
            </w:pPr>
            <w:r>
              <w:rPr>
                <w:b/>
                <w:sz w:val="24"/>
                <w:szCs w:val="24"/>
              </w:rPr>
              <w:t>Покупатель</w:t>
            </w:r>
            <w:r>
              <w:rPr>
                <w:b/>
                <w:sz w:val="24"/>
                <w:szCs w:val="24"/>
                <w:lang w:val="en-GB"/>
              </w:rPr>
              <w:t>:</w:t>
            </w:r>
          </w:p>
        </w:tc>
        <w:tc>
          <w:tcPr>
            <w:tcW w:w="8789" w:type="dxa"/>
            <w:tcBorders/>
          </w:tcPr>
          <w:p>
            <w:pPr>
              <w:pStyle w:val="Normal"/>
              <w:widowControl w:val="false"/>
              <w:rPr>
                <w:b/>
                <w:sz w:val="24"/>
                <w:szCs w:val="24"/>
                <w:lang w:val="en-GB"/>
              </w:rPr>
            </w:pPr>
            <w:r>
              <w:rPr>
                <w:b/>
                <w:sz w:val="24"/>
                <w:szCs w:val="24"/>
              </w:rPr>
              <w:t>Поставщик</w:t>
            </w:r>
            <w:r>
              <w:rPr>
                <w:b/>
                <w:sz w:val="24"/>
                <w:szCs w:val="24"/>
                <w:lang w:val="en-GB"/>
              </w:rPr>
              <w:t>:</w:t>
            </w:r>
          </w:p>
        </w:tc>
      </w:tr>
      <w:tr>
        <w:trPr/>
        <w:tc>
          <w:tcPr>
            <w:tcW w:w="4961"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tc>
        <w:tc>
          <w:tcPr>
            <w:tcW w:w="8789"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r>
          </w:p>
        </w:tc>
      </w:tr>
    </w:tbl>
    <w:p>
      <w:pPr>
        <w:pStyle w:val="Normal"/>
        <w:suppressAutoHyphens w:val="true"/>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suppressAutoHyphens w:val="true"/>
        <w:ind w:right="96" w:firstLine="5529"/>
        <w:rPr>
          <w:sz w:val="22"/>
          <w:szCs w:val="22"/>
        </w:rPr>
      </w:pPr>
      <w:r>
        <w:rPr>
          <w:sz w:val="22"/>
          <w:szCs w:val="22"/>
        </w:rPr>
        <w:t>Приложение № 4</w:t>
      </w:r>
    </w:p>
    <w:p>
      <w:pPr>
        <w:pStyle w:val="Normal"/>
        <w:suppressAutoHyphens w:val="true"/>
        <w:ind w:right="96" w:firstLine="5529"/>
        <w:rPr>
          <w:sz w:val="22"/>
          <w:szCs w:val="22"/>
        </w:rPr>
      </w:pPr>
      <w:r>
        <w:rPr>
          <w:sz w:val="22"/>
          <w:szCs w:val="22"/>
        </w:rPr>
        <w:t>к Договору поставки</w:t>
      </w:r>
    </w:p>
    <w:p>
      <w:pPr>
        <w:pStyle w:val="Normal"/>
        <w:ind w:firstLine="5529"/>
        <w:rPr>
          <w:bCs/>
          <w:sz w:val="24"/>
          <w:szCs w:val="24"/>
        </w:rPr>
      </w:pPr>
      <w:r>
        <w:rPr>
          <w:sz w:val="22"/>
          <w:szCs w:val="22"/>
        </w:rPr>
        <w:t>от «____» __________ 20 _ г.</w:t>
      </w:r>
      <w:r>
        <w:rPr>
          <w:sz w:val="24"/>
          <w:szCs w:val="24"/>
        </w:rPr>
        <w:t xml:space="preserve">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uppressAutoHyphens w:val="true"/>
        <w:spacing w:lineRule="auto" w:line="25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1.1. Нарушение ППБ без возникновения пожара</w:t>
            </w:r>
          </w:p>
          <w:p>
            <w:pPr>
              <w:pStyle w:val="Normal"/>
              <w:widowControl w:val="false"/>
              <w:jc w:val="both"/>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bl>
    <w:p>
      <w:pPr>
        <w:pStyle w:val="Normal"/>
        <w:ind w:left="5103" w:hanging="0"/>
        <w:rPr>
          <w:sz w:val="24"/>
          <w:szCs w:val="24"/>
        </w:rPr>
      </w:pPr>
      <w:r>
        <w:rPr>
          <w:sz w:val="24"/>
          <w:szCs w:val="24"/>
        </w:rPr>
      </w:r>
    </w:p>
    <w:p>
      <w:pPr>
        <w:pStyle w:val="Normal"/>
        <w:ind w:left="5103" w:hanging="0"/>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left="5103" w:hanging="0"/>
        <w:rPr>
          <w:b/>
          <w:bCs/>
          <w:sz w:val="24"/>
          <w:szCs w:val="24"/>
        </w:rPr>
      </w:pPr>
      <w:r>
        <w:rPr>
          <w:b/>
          <w:bCs/>
          <w:sz w:val="24"/>
          <w:szCs w:val="24"/>
        </w:rPr>
      </w:r>
    </w:p>
    <w:p>
      <w:pPr>
        <w:pStyle w:val="Normal"/>
        <w:widowControl/>
        <w:rPr>
          <w:b/>
          <w:bCs/>
          <w:sz w:val="24"/>
          <w:szCs w:val="24"/>
        </w:rPr>
      </w:pPr>
      <w:r>
        <w:rPr/>
      </w:r>
    </w:p>
    <w:sectPr>
      <w:headerReference w:type="default" r:id="rId7"/>
      <w:headerReference w:type="first" r:id="rId8"/>
      <w:footerReference w:type="default" r:id="rId9"/>
      <w:footerReference w:type="first" r:id="rId10"/>
      <w:footnotePr>
        <w:numFmt w:val="decimal"/>
      </w:footnotePr>
      <w:type w:val="nextPage"/>
      <w:pgSz w:w="11906" w:h="16838"/>
      <w:pgMar w:left="1418" w:right="851" w:gutter="0" w:header="567" w:top="1134" w:footer="314" w:bottom="851"/>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Times New Roman">
    <w:altName w:val="serif"/>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19</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25</w:t>
    </w:r>
    <w:r>
      <w:rPr>
        <w:sz w:val="24"/>
        <w:szCs w:val="24"/>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4"/>
        </w:rPr>
        <w:footnoteRef/>
      </w:r>
      <w:r>
        <w:rPr/>
        <w:t xml:space="preserve"> </w:t>
      </w:r>
      <w:r>
        <w:rPr/>
        <w:t xml:space="preserve">Указанное условие включается в Договор, если Договором предусмотрена поставка оборудования, входящего в перечень, утвержденный приказом Минпромторга России от 22.02.2022 № 544 «Об утверждении перечня оборудования, эксплуатируемого по итогам реализации проектов по модернизации, реконструкции или строительству генерирующих объектов тепловых электростанций, включенных в перечень генерирующих объектов тепловых электростанций, подлежащих модернизации (реконструкции) или строительству </w:t>
        <w:br/>
        <w:t>в неценовых зонах оптового рынка электрической энергии и мощности, в отношении которого необходимо получить заключение о подтверждении производства промышленной продукции на территории Российской Федерации» (или заменяющим его документом).</w:t>
      </w:r>
    </w:p>
  </w:footnote>
  <w:footnote w:id="3">
    <w:p>
      <w:pPr>
        <w:pStyle w:val="FootnoteText"/>
        <w:jc w:val="both"/>
        <w:rPr/>
      </w:pPr>
      <w:r>
        <w:rPr>
          <w:rStyle w:val="Style14"/>
        </w:rPr>
        <w:footnoteRef/>
      </w:r>
      <w:r>
        <w:rPr/>
        <w:t xml:space="preserve"> </w:t>
      </w:r>
      <w:r>
        <w:rPr/>
        <w:t>В случае непредоставления новой Банковской гарантии возврата авансового платежа.</w:t>
      </w:r>
    </w:p>
  </w:footnote>
  <w:footnote w:id="4">
    <w:p>
      <w:pPr>
        <w:pStyle w:val="FootnoteText"/>
        <w:jc w:val="both"/>
        <w:rPr/>
      </w:pPr>
      <w:r>
        <w:rPr>
          <w:rStyle w:val="Style14"/>
        </w:rPr>
        <w:footnoteRef/>
      </w:r>
      <w:r>
        <w:rPr/>
        <w:t xml:space="preserve"> </w:t>
      </w:r>
      <w:r>
        <w:rPr>
          <w:shd w:fill="auto" w:val="clear"/>
        </w:rPr>
        <w:t>Данный пункт применяется только в случае, если в отношении Контрагента (победителя закупки) введены санкции / ограничительные меры. Форма Дополнительного соглашения является типовой (ТФД № 12.3).</w:t>
      </w:r>
    </w:p>
  </w:footnote>
  <w:footnote w:id="5">
    <w:p>
      <w:pPr>
        <w:pStyle w:val="FootnoteText"/>
        <w:jc w:val="both"/>
        <w:rPr/>
      </w:pPr>
      <w:r>
        <w:rPr>
          <w:rStyle w:val="Style14"/>
        </w:rPr>
        <w:footnoteRef/>
      </w:r>
      <w:r>
        <w:rPr/>
        <w:t xml:space="preserve"> </w:t>
      </w:r>
      <w:r>
        <w:rPr/>
        <w:t>Указанное условие включается в Договор, если в пункте 4.8 Договора установлена обязанность Поставщика предоставить Покупателю копию(-и) заключения(-ий) о подтверждении производства Товара на территории Российской Федерации, выданного(-ых) Минпромторгом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w:t>
      </w:r>
    </w:p>
  </w:footnote>
  <w:footnote w:id="6">
    <w:p>
      <w:pPr>
        <w:pStyle w:val="FootnoteText"/>
        <w:jc w:val="both"/>
        <w:rPr/>
      </w:pPr>
      <w:r>
        <w:rPr>
          <w:rStyle w:val="Style14"/>
        </w:rPr>
        <w:footnoteRef/>
      </w:r>
      <w:r>
        <w:rPr/>
        <w:t xml:space="preserve"> </w:t>
      </w:r>
      <w:r>
        <w:rPr>
          <w:shd w:fill="auto" w:val="clear"/>
        </w:rPr>
        <w:t>Применяется в случае наличия между Сторонами заключенного соглашения о переходе на электронный</w:t>
      </w:r>
      <w:r>
        <w:rPr>
          <w:highlight w:val="lightGray"/>
        </w:rPr>
        <w:t xml:space="preserve"> </w:t>
      </w:r>
      <w:r>
        <w:rPr>
          <w:shd w:fill="auto" w:val="clear"/>
        </w:rPr>
        <w:t>юридически значимый документооборот (Соглашения об ЭДО).</w:t>
      </w:r>
    </w:p>
  </w:footnote>
  <w:footnote w:id="7">
    <w:p>
      <w:pPr>
        <w:pStyle w:val="FootnoteText"/>
        <w:jc w:val="both"/>
        <w:rPr/>
      </w:pPr>
      <w:r>
        <w:rPr>
          <w:rStyle w:val="Style14"/>
        </w:rPr>
        <w:footnoteRef/>
      </w:r>
      <w:r>
        <w:rPr/>
        <w:t xml:space="preserve"> </w:t>
      </w:r>
      <w:r>
        <w:rPr/>
        <w:t>В случае если Поставщик является СМП,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8">
    <w:p>
      <w:pPr>
        <w:pStyle w:val="FootnoteText"/>
        <w:jc w:val="both"/>
        <w:rPr/>
      </w:pPr>
      <w:r>
        <w:rPr>
          <w:rStyle w:val="Style14"/>
        </w:rPr>
        <w:footnoteRef/>
      </w:r>
      <w:r>
        <w:rPr/>
        <w:t xml:space="preserve"> </w:t>
      </w:r>
      <w:r>
        <w:rPr>
          <w:shd w:fill="auto" w:val="clear"/>
        </w:rPr>
        <w:t>Применяется в случае подписания собственноручно без использования усиленных квалифицированных электронных подписей (УКЭП).</w:t>
      </w:r>
    </w:p>
  </w:footnote>
  <w:footnote w:id="9">
    <w:p>
      <w:pPr>
        <w:pStyle w:val="FootnoteText"/>
        <w:jc w:val="both"/>
        <w:rPr/>
      </w:pPr>
      <w:r>
        <w:rPr>
          <w:rStyle w:val="Style14"/>
        </w:rPr>
        <w:footnoteRef/>
      </w:r>
      <w:r>
        <w:rPr/>
        <w:t xml:space="preserve"> </w:t>
      </w:r>
      <w:r>
        <w:rPr/>
        <w:t xml:space="preserve">В соответствии с Общероссийским классификатором стран мира (утв. постановлением Госстандарта России </w:t>
        <w:br/>
        <w:t>от 14.12.2001 № 529-ст).</w:t>
      </w:r>
    </w:p>
  </w:footnote>
  <w:footnote w:id="10">
    <w:p>
      <w:pPr>
        <w:pStyle w:val="FootnoteText"/>
        <w:jc w:val="both"/>
        <w:rPr/>
      </w:pPr>
      <w:r>
        <w:rPr>
          <w:rStyle w:val="Style14"/>
        </w:rPr>
        <w:footnoteRef/>
      </w:r>
      <w:r>
        <w:rPr/>
        <w:t xml:space="preserve"> </w:t>
      </w:r>
      <w:r>
        <w:rPr>
          <w:bCs/>
        </w:rPr>
        <w:t>Порядковый номер (номера) реестровой записи (реестровых записей), под которой (которыми) Товар  включен</w:t>
      </w:r>
      <w:bookmarkStart w:id="11" w:name="_GoBack_Копия_1_Копия_1_Копия_1_Копия_1_"/>
      <w:bookmarkEnd w:id="11"/>
      <w:r>
        <w:rPr>
          <w:bCs/>
        </w:rPr>
        <w:t xml:space="preserve"> в реестры, предусмотренные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r>
        <w:rPr>
          <w:rFonts w:eastAsia="Calibri" w:eastAsiaTheme="minorHAnsi"/>
          <w:lang w:eastAsia="en-US"/>
        </w:rPr>
        <w:t>.</w:t>
      </w:r>
    </w:p>
  </w:footnote>
  <w:footnote w:id="11">
    <w:p>
      <w:pPr>
        <w:pStyle w:val="FootnoteText"/>
        <w:jc w:val="both"/>
        <w:rPr/>
      </w:pPr>
      <w:r>
        <w:rPr>
          <w:rStyle w:val="Style14"/>
        </w:rPr>
        <w:footnoteRef/>
      </w:r>
      <w:r>
        <w:rPr/>
        <w:t xml:space="preserve"> </w:t>
      </w:r>
      <w:r>
        <w:rPr/>
        <w:t xml:space="preserve">Не распространяются на договоры, заключенные по результатам конкурентной закупки товаров, работ, услуг в электронной форме только среди субъектов малого и среднего предпринимательства, требования к гарантам </w:t>
        <w:br/>
        <w:t>по которым предусмотрены федеральным законом от 18.07.2011 № 223-ФЗ «О закупках товаров, работ, услуг отдельными видами юридических лиц».</w:t>
      </w:r>
    </w:p>
  </w:footnote>
  <w:footnote w:id="12">
    <w:p>
      <w:pPr>
        <w:pStyle w:val="FootnoteText"/>
        <w:jc w:val="both"/>
        <w:rPr/>
      </w:pPr>
      <w:r>
        <w:rPr>
          <w:rStyle w:val="Style14"/>
        </w:rPr>
        <w:footnoteRef/>
      </w:r>
      <w:r>
        <w:rPr>
          <w:lang w:eastAsia="x-none"/>
        </w:rPr>
        <w:t xml:space="preserve"> </w:t>
      </w:r>
      <w:r>
        <w:rPr>
          <w:lang w:eastAsia="x-none"/>
        </w:rPr>
        <w:t xml:space="preserve">Актуальный Перечень Банков-Гарантов Группы РусГидро размещен на официальном сайте Заказчика </w:t>
      </w:r>
      <w:r>
        <w:rPr/>
        <w:t>http</w:t>
      </w:r>
      <w:r>
        <w:rPr>
          <w:lang w:eastAsia="x-none"/>
        </w:rPr>
        <w:t>://</w:t>
      </w:r>
      <w:r>
        <w:rPr/>
        <w:t>zakupki</w:t>
      </w:r>
      <w:r>
        <w:rPr>
          <w:lang w:eastAsia="x-none"/>
        </w:rPr>
        <w:t>.</w:t>
      </w:r>
      <w:r>
        <w:rPr/>
        <w:t>rushydro</w:t>
      </w:r>
      <w:r>
        <w:rPr>
          <w:lang w:eastAsia="x-none"/>
        </w:rPr>
        <w:t>.</w:t>
      </w:r>
      <w:r>
        <w:rPr/>
        <w:t>ru</w:t>
      </w:r>
      <w:r>
        <w:rPr>
          <w:lang w:eastAsia="x-none"/>
        </w:rPr>
        <w:t>/</w:t>
      </w:r>
      <w:r>
        <w:rPr/>
        <w:t>PublicContent</w:t>
      </w:r>
      <w:r>
        <w:rPr>
          <w:lang w:eastAsia="x-none"/>
        </w:rPr>
        <w:t>/</w:t>
      </w:r>
      <w:r>
        <w:rPr/>
        <w:t>Section</w:t>
      </w:r>
      <w:r>
        <w:rPr>
          <w:lang w:eastAsia="x-none"/>
        </w:rPr>
        <w:t>/.</w:t>
      </w:r>
    </w:p>
  </w:footnote>
  <w:footnote w:id="13">
    <w:p>
      <w:pPr>
        <w:pStyle w:val="FootnoteText"/>
        <w:jc w:val="both"/>
        <w:rPr/>
      </w:pPr>
      <w:r>
        <w:rPr>
          <w:rStyle w:val="Style14"/>
        </w:rPr>
        <w:footnoteRef/>
      </w:r>
      <w:r>
        <w:rPr>
          <w:lang w:eastAsia="x-none"/>
        </w:rPr>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 w:id="14">
    <w:p>
      <w:pPr>
        <w:pStyle w:val="FootnoteText"/>
        <w:jc w:val="both"/>
        <w:rPr/>
      </w:pPr>
      <w:r>
        <w:rPr>
          <w:rStyle w:val="Style14"/>
        </w:rPr>
        <w:footnoteRef/>
      </w:r>
      <w:r>
        <w:rPr>
          <w:lang w:eastAsia="x-none"/>
        </w:rPr>
        <w:t xml:space="preserve"> </w:t>
      </w:r>
      <w:r>
        <w:rPr>
          <w:lang w:eastAsia="x-none"/>
        </w:rPr>
        <w:t>Данное требование не применяется в отношении небанковских кредитных организаций.</w:t>
      </w:r>
    </w:p>
  </w:footnote>
  <w:footnote w:id="15">
    <w:p>
      <w:pPr>
        <w:pStyle w:val="FootnoteText"/>
        <w:jc w:val="both"/>
        <w:rPr/>
      </w:pPr>
      <w:r>
        <w:rPr>
          <w:rStyle w:val="Style14"/>
        </w:rPr>
        <w:footnoteRef/>
      </w:r>
      <w:r>
        <w:rPr>
          <w:lang w:eastAsia="x-none"/>
        </w:rPr>
        <w:t xml:space="preserve"> </w:t>
      </w:r>
      <w:r>
        <w:rPr>
          <w:lang w:eastAsia="x-none"/>
        </w:rPr>
        <w:t>При издании ПО организационно-распорядительного документа о ТФУ данный критерий может быть исключен.</w:t>
      </w:r>
    </w:p>
  </w:footnote>
  <w:footnote w:id="16">
    <w:p>
      <w:pPr>
        <w:pStyle w:val="FootnoteText"/>
        <w:jc w:val="both"/>
        <w:rPr/>
      </w:pPr>
      <w:r>
        <w:rPr>
          <w:rStyle w:val="Style14"/>
        </w:rPr>
        <w:footnoteRef/>
      </w:r>
      <w:r>
        <w:rPr/>
        <w:t xml:space="preserve"> </w:t>
      </w:r>
      <w:r>
        <w:rPr>
          <w:rFonts w:cs="Times New Roman"/>
        </w:rPr>
        <w:t xml:space="preserve">Значение показателя округляется в большую или меньшую сторону до суммы, кратной 100 млн. руб. </w:t>
        <w:br/>
        <w:t xml:space="preserve">по правилам математического округления. В случае если первая из отделяемых цифр меньше 5,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w:t>
        <w:br/>
        <w:t xml:space="preserve">к установлению - 5 400 млн. руб.; расчетное значение лимита - 5 450 млн. руб., лимит к установлению - </w:t>
        <w:br/>
        <w:t>5 500 млн. руб.</w:t>
      </w:r>
    </w:p>
  </w:footnote>
  <w:footnote w:id="17">
    <w:p>
      <w:pPr>
        <w:pStyle w:val="FootnoteText"/>
        <w:jc w:val="both"/>
        <w:rPr/>
      </w:pPr>
      <w:r>
        <w:rPr>
          <w:rStyle w:val="Style14"/>
        </w:rPr>
        <w:footnoteRef/>
      </w:r>
      <w:r>
        <w:rPr/>
        <w:t xml:space="preserve"> </w:t>
      </w:r>
      <w:r>
        <w:rPr>
          <w:rFonts w:cs="Times New Roman"/>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 или рейтинговых агентств и/или </w:t>
        <w:br/>
        <w:t>из информационных систем Reuters, Bloomberg, Сbonds).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64" w:leader="none"/>
      </w:tabs>
      <w:ind w:left="8364" w:hanging="426"/>
      <w:rPr>
        <w:i/>
        <w:i/>
      </w:rPr>
    </w:pPr>
    <w:r>
      <w:rPr>
        <w:i/>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3">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b w:val="false"/>
        <w:rFonts w:cs="Times New Roman"/>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4">
    <w:lvl w:ilvl="0">
      <w:start w:val="9"/>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36" w:hanging="720"/>
      </w:pPr>
      <w:rPr>
        <w:rFonts w:cs="Times New Roman"/>
      </w:rPr>
    </w:lvl>
    <w:lvl w:ilvl="2">
      <w:start w:val="1"/>
      <w:numFmt w:val="decimal"/>
      <w:lvlText w:val="%1.%2.%3."/>
      <w:lvlJc w:val="left"/>
      <w:pPr>
        <w:tabs>
          <w:tab w:val="num" w:pos="0"/>
        </w:tabs>
        <w:ind w:left="3552" w:hanging="720"/>
      </w:pPr>
      <w:rPr>
        <w:rFonts w:cs="Times New Roman"/>
      </w:rPr>
    </w:lvl>
    <w:lvl w:ilvl="3">
      <w:start w:val="1"/>
      <w:numFmt w:val="decimal"/>
      <w:lvlText w:val="%1.%2.%3.%4."/>
      <w:lvlJc w:val="left"/>
      <w:pPr>
        <w:tabs>
          <w:tab w:val="num" w:pos="0"/>
        </w:tabs>
        <w:ind w:left="5328" w:hanging="1080"/>
      </w:pPr>
      <w:rPr>
        <w:rFonts w:cs="Times New Roman"/>
      </w:rPr>
    </w:lvl>
    <w:lvl w:ilvl="4">
      <w:start w:val="1"/>
      <w:numFmt w:val="decimal"/>
      <w:lvlText w:val="%1.%2.%3.%4.%5."/>
      <w:lvlJc w:val="left"/>
      <w:pPr>
        <w:tabs>
          <w:tab w:val="num" w:pos="0"/>
        </w:tabs>
        <w:ind w:left="6744" w:hanging="1080"/>
      </w:pPr>
      <w:rPr>
        <w:rFonts w:cs="Times New Roman"/>
      </w:rPr>
    </w:lvl>
    <w:lvl w:ilvl="5">
      <w:start w:val="1"/>
      <w:numFmt w:val="decimal"/>
      <w:lvlText w:val="%1.%2.%3.%4.%5.%6."/>
      <w:lvlJc w:val="left"/>
      <w:pPr>
        <w:tabs>
          <w:tab w:val="num" w:pos="0"/>
        </w:tabs>
        <w:ind w:left="8520" w:hanging="1440"/>
      </w:pPr>
      <w:rPr>
        <w:rFonts w:cs="Times New Roman"/>
      </w:rPr>
    </w:lvl>
    <w:lvl w:ilvl="6">
      <w:start w:val="1"/>
      <w:numFmt w:val="decimal"/>
      <w:lvlText w:val="%1.%2.%3.%4.%5.%6.%7."/>
      <w:lvlJc w:val="left"/>
      <w:pPr>
        <w:tabs>
          <w:tab w:val="num" w:pos="0"/>
        </w:tabs>
        <w:ind w:left="10296" w:hanging="1800"/>
      </w:pPr>
      <w:rPr>
        <w:rFonts w:cs="Times New Roman"/>
      </w:rPr>
    </w:lvl>
    <w:lvl w:ilvl="7">
      <w:start w:val="1"/>
      <w:numFmt w:val="decimal"/>
      <w:lvlText w:val="%1.%2.%3.%4.%5.%6.%7.%8."/>
      <w:lvlJc w:val="left"/>
      <w:pPr>
        <w:tabs>
          <w:tab w:val="num" w:pos="0"/>
        </w:tabs>
        <w:ind w:left="11712" w:hanging="1800"/>
      </w:pPr>
      <w:rPr>
        <w:rFonts w:cs="Times New Roman"/>
      </w:rPr>
    </w:lvl>
    <w:lvl w:ilvl="8">
      <w:start w:val="1"/>
      <w:numFmt w:val="decimal"/>
      <w:lvlText w:val="%1.%2.%3.%4.%5.%6.%7.%8.%9."/>
      <w:lvlJc w:val="left"/>
      <w:pPr>
        <w:tabs>
          <w:tab w:val="num" w:pos="0"/>
        </w:tabs>
        <w:ind w:left="13488" w:hanging="2160"/>
      </w:pPr>
      <w:rPr>
        <w:rFonts w:cs="Times New Roman"/>
      </w:rPr>
    </w:lvl>
  </w:abstractNum>
  <w:abstractNum w:abstractNumId="15">
    <w:lvl w:ilvl="0">
      <w:start w:val="6"/>
      <w:numFmt w:val="decimal"/>
      <w:lvlText w:val="%1."/>
      <w:lvlJc w:val="left"/>
      <w:pPr>
        <w:tabs>
          <w:tab w:val="num" w:pos="0"/>
        </w:tabs>
        <w:ind w:left="360" w:hanging="360"/>
      </w:pPr>
      <w:rPr/>
    </w:lvl>
    <w:lvl w:ilvl="1">
      <w:start w:val="5"/>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uiPriority w:val="99"/>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name w:val="Символ сноски"/>
    <w:uiPriority w:val="99"/>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Абзац списка Знак"/>
    <w:link w:val="ListParagraph"/>
    <w:uiPriority w:val="34"/>
    <w:qFormat/>
    <w:locked/>
    <w:rsid w:val="00182860"/>
    <w:rPr/>
  </w:style>
  <w:style w:type="character" w:styleId="LineNumber">
    <w:name w:val="Line Number"/>
    <w:rPr/>
  </w:style>
  <w:style w:type="character" w:styleId="Style18">
    <w:name w:val="Символ концевой сноски"/>
    <w:qFormat/>
    <w:rPr>
      <w:vertAlign w:val="superscript"/>
    </w:rPr>
  </w:style>
  <w:style w:type="character" w:styleId="EndnoteReference">
    <w:name w:val="Endnote Reference"/>
    <w:rPr>
      <w:vertAlign w:val="superscript"/>
    </w:rPr>
  </w:style>
  <w:style w:type="character" w:styleId="FollowedHyperlink">
    <w:name w:val="FollowedHyperlink"/>
    <w:rPr>
      <w:color w:val="800000"/>
      <w:u w:val="single"/>
    </w:rPr>
  </w:style>
  <w:style w:type="paragraph" w:styleId="Style19">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0">
    <w:name w:val="Указатель"/>
    <w:basedOn w:val="Normal"/>
    <w:qFormat/>
    <w:pPr>
      <w:suppressLineNumbers/>
    </w:pPr>
    <w:rPr/>
  </w:style>
  <w:style w:type="paragraph" w:styleId="Title">
    <w:name w:val="Title"/>
    <w:basedOn w:val="Normal"/>
    <w:link w:val="Style7"/>
    <w:qFormat/>
    <w:rsid w:val="00a264b0"/>
    <w:pPr>
      <w:jc w:val="center"/>
    </w:pPr>
    <w:rPr>
      <w:b/>
      <w:bCs/>
      <w:sz w:val="24"/>
      <w:szCs w:val="24"/>
    </w:rPr>
  </w:style>
  <w:style w:type="paragraph" w:styleId="Style21"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2">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uiPriority w:val="99"/>
    <w:qFormat/>
    <w:rsid w:val="00d36934"/>
    <w:pPr/>
    <w:rPr>
      <w:b/>
      <w:bCs/>
      <w:lang w:val="x-none" w:eastAsia="x-none"/>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3"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4"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5"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6"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hyperlink" Target="http://www.cbr.ru/" TargetMode="External"/><Relationship Id="rId6" Type="http://schemas.openxmlformats.org/officeDocument/2006/relationships/hyperlink" Target="http://www.cbr.ru/" TargetMode="Externa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Relationship Id="rId17" Type="http://schemas.openxmlformats.org/officeDocument/2006/relationships/customXml" Target="../customXml/item2.xml"/><Relationship Id="rId18" Type="http://schemas.openxmlformats.org/officeDocument/2006/relationships/customXml" Target="../customXml/item3.xml"/><Relationship Id="rId19"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B0BAB9-8B8F-4B85-B8DF-266ED50E1B2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DC28637-82A2-4882-B880-456EC7FD591C}">
  <ds:schemaRefs>
    <ds:schemaRef ds:uri="http://schemas.openxmlformats.org/officeDocument/2006/bibliography"/>
  </ds:schemaRefs>
</ds:datastoreItem>
</file>

<file path=customXml/itemProps3.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4.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474</TotalTime>
  <Application>AlterOffice/3.4.0.9$Linux_X86_64 LibreOffice_project/b8daf9e823b1a5463a2f48435ddc2e8696e7d4fc</Application>
  <AppVersion>15.0000</AppVersion>
  <Pages>25</Pages>
  <Words>9110</Words>
  <Characters>65586</Characters>
  <CharactersWithSpaces>74412</CharactersWithSpaces>
  <Paragraphs>421</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2024-04-03T13:12:00Z</dcterms:created>
  <dc:creator>tsypilev_ag</dc:creator>
  <dc:description/>
  <dc:language>ru-RU</dc:language>
  <cp:lastModifiedBy>budnikovanv@corp.gidroogk.com</cp:lastModifiedBy>
  <cp:lastPrinted>2018-05-22T09:46:00Z</cp:lastPrinted>
  <dcterms:modified xsi:type="dcterms:W3CDTF">2026-06-25T14:26:50Z</dcterms:modified>
  <cp:revision>55</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