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43.29.11.110</w:t>
      </w:r>
      <w:r>
        <w:rPr>
          <w:rFonts w:eastAsia="Calibri"/>
          <w:b/>
        </w:rPr>
        <w:t xml:space="preserve"> Поставка </w:t>
      </w:r>
      <w:r>
        <w:rPr>
          <w:rFonts w:eastAsia="Calibri"/>
          <w:b/>
        </w:rPr>
        <w:t>теплоизоляции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теплоизоляции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25.05.2027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356463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AlterOffice/3.4.0.9$Linux_X86_64 LibreOffice_project/b8daf9e823b1a5463a2f48435ddc2e8696e7d4fc</Application>
  <AppVersion>15.0000</AppVersion>
  <Pages>5</Pages>
  <Words>510</Words>
  <Characters>3428</Characters>
  <CharactersWithSpaces>3854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2026-06-22T15:08:14Z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