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3128"/>
        <w:gridCol w:w="6085"/>
      </w:tblGrid>
      <w:tr>
        <w:tblPrEx/>
        <w:trPr/>
        <w:tc>
          <w:tcPr>
            <w:tcW w:w="3128" w:type="dxa"/>
            <w:vAlign w:val="center"/>
            <w:textDirection w:val="lrTb"/>
            <w:noWrap w:val="false"/>
          </w:tcPr>
          <w:p>
            <w:r>
              <w:t xml:space="preserve">Номер закупки</w:t>
            </w:r>
            <w:r/>
          </w:p>
        </w:tc>
        <w:tc>
          <w:tcPr>
            <w:tcW w:w="6085" w:type="dxa"/>
            <w:vAlign w:val="center"/>
            <w:textDirection w:val="lrTb"/>
            <w:noWrap w:val="false"/>
          </w:tcPr>
          <w:p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t xml:space="preserve">32616083436</w:t>
            </w:r>
            <w:r>
              <w:rPr>
                <w:rFonts w:eastAsia="Calibri"/>
                <w:lang w:eastAsia="en-US"/>
              </w:rPr>
            </w:r>
            <w:r/>
          </w:p>
        </w:tc>
      </w:tr>
      <w:tr>
        <w:tblPrEx/>
        <w:trPr/>
        <w:tc>
          <w:tcPr>
            <w:tcW w:w="3128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Предмет закупки</w:t>
            </w:r>
            <w:r/>
          </w:p>
        </w:tc>
        <w:tc>
          <w:tcPr>
            <w:tcW w:w="6085" w:type="dxa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t xml:space="preserve">Конкурс в электронной форме  на </w:t>
            </w:r>
            <w:r>
              <w:t xml:space="preserve">право заключения рамочного договора на выполнение работ, направленных на исполнение обязательств по объектам технологического присоединения к электрическим сетям АО «Россети Янтарь» (Лот № 1.1.17р)</w:t>
            </w:r>
            <w:r/>
            <w:r>
              <w:rPr>
                <w:b/>
                <w:bCs/>
              </w:rPr>
            </w:r>
          </w:p>
        </w:tc>
      </w:tr>
      <w:tr>
        <w:tblPrEx/>
        <w:trPr>
          <w:trHeight w:val="276"/>
        </w:trPr>
        <w:tc>
          <w:tcPr>
            <w:tcW w:w="3128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Дата поступления запроса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085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22.06.2026 12:14 MCK-1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873"/>
        </w:trPr>
        <w:tc>
          <w:tcPr>
            <w:tcW w:w="3128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Текст запроса на разъяснения</w:t>
            </w:r>
            <w:r/>
          </w:p>
        </w:tc>
        <w:tc>
          <w:tcPr>
            <w:tcW w:w="6085" w:type="dxa"/>
            <w:vAlign w:val="center"/>
            <w:textDirection w:val="lrTb"/>
            <w:noWrap w:val="false"/>
          </w:tcPr>
          <w:p>
            <w:pPr>
              <w:ind w:firstLine="567"/>
              <w:jc w:val="both"/>
              <w:rPr>
                <w:bCs/>
                <w:i w:val="0"/>
                <w:iCs w:val="0"/>
              </w:rPr>
            </w:pPr>
            <w:r>
              <w:rPr>
                <w:bCs/>
                <w:i w:val="0"/>
                <w:iCs w:val="0"/>
              </w:rPr>
            </w:r>
            <w:r>
              <w:rPr>
                <w:bCs/>
                <w:i w:val="0"/>
                <w:iCs w:val="0"/>
              </w:rPr>
              <w:t xml:space="preserve">В связи с техническими неполадками и невозможностью загрузить документы на площадку, просим Вас продлить время подачи документов</w:t>
            </w:r>
            <w:r>
              <w:rPr>
                <w:bCs/>
                <w:i w:val="0"/>
                <w:iCs w:val="0"/>
              </w:rPr>
              <w:t xml:space="preserve">.</w:t>
            </w:r>
            <w:r>
              <w:rPr>
                <w:bCs/>
                <w:i w:val="0"/>
                <w:iCs w:val="0"/>
              </w:rPr>
            </w:r>
            <w:r>
              <w:rPr>
                <w:bCs/>
                <w:i w:val="0"/>
                <w:iCs w:val="0"/>
              </w:rPr>
            </w:r>
          </w:p>
        </w:tc>
      </w:tr>
      <w:tr>
        <w:tblPrEx/>
        <w:trPr/>
        <w:tc>
          <w:tcPr>
            <w:tcW w:w="3128" w:type="dxa"/>
            <w:vAlign w:val="center"/>
            <w:textDirection w:val="lrTb"/>
            <w:noWrap w:val="false"/>
          </w:tcPr>
          <w:p>
            <w:r>
              <w:t xml:space="preserve">Разъяснение Организатора закупки</w:t>
            </w:r>
            <w:r/>
          </w:p>
        </w:tc>
        <w:tc>
          <w:tcPr>
            <w:tcW w:w="6085" w:type="dxa"/>
            <w:vAlign w:val="center"/>
            <w:textDirection w:val="lrTb"/>
            <w:noWrap w:val="false"/>
          </w:tcPr>
          <w:p>
            <w:pPr>
              <w:ind w:firstLine="540"/>
              <w:jc w:val="both"/>
              <w:shd w:val="clear" w:color="ffffff" w:fill="ffffff"/>
              <w:rPr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</w:rPr>
              <w:t xml:space="preserve">Уважаемый участник!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ind w:firstLine="540"/>
              <w:jc w:val="both"/>
              <w:shd w:val="clear" w:color="ffffff" w:fill="ffffff"/>
              <w:rPr>
                <w:rFonts w:ascii="Times New Roman" w:hAnsi="Times New Roman" w:eastAsia="Times New Roman"/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highlight w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highlight w:val="none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highlight w:val="none"/>
              </w:rPr>
              <w:t xml:space="preserve">анный запрос не является запросом на разъяснения положений документации о закупке.</w:t>
            </w:r>
            <w:r>
              <w:rPr>
                <w:rFonts w:ascii="Times New Roman" w:hAnsi="Times New Roman" w:eastAsia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highlight w:val="none"/>
              </w:rPr>
            </w:r>
          </w:p>
          <w:p>
            <w:pPr>
              <w:ind w:firstLine="540"/>
              <w:jc w:val="both"/>
              <w:shd w:val="clear" w:color="ffffff" w:fill="ffffff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Cs w:val="24"/>
                <w:highlight w:val="none"/>
              </w:rPr>
              <w:t xml:space="preserve">Также сообщаем, что 22.06.2026 г.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highlight w:val="none"/>
              </w:rPr>
              <w:t xml:space="preserve"> Заказчиком внесены изменения в документацию о закупке. Информация о внесенных изменениях                                                            доведена до сведения участников посредством размещения н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highlight w:val="none"/>
              </w:rPr>
              <w:t xml:space="preserve">а официальном сайте Единой информационной системы в сфере закупок (далее ЕИС) (</w:t>
            </w:r>
            <w:r>
              <w:rPr>
                <w:rFonts w:ascii="Times New Roman" w:hAnsi="Times New Roman" w:eastAsia="Times New Roman"/>
                <w:color w:val="0000ff"/>
                <w:szCs w:val="24"/>
                <w:highlight w:val="none"/>
              </w:rPr>
              <w:t xml:space="preserve">www.zakupki.gov.ru</w:t>
            </w:r>
            <w:r>
              <w:rPr>
                <w:rFonts w:ascii="Times New Roman" w:hAnsi="Times New Roman" w:eastAsia="Times New Roman"/>
                <w:color w:val="000000" w:themeColor="text1"/>
                <w:szCs w:val="24"/>
                <w:highlight w:val="none"/>
              </w:rPr>
              <w:t xml:space="preserve">), а также на сайте электронной торговой площадки </w:t>
            </w:r>
            <w:hyperlink r:id="rId10" w:tooltip="https://www.roseltorg.ru" w:history="1">
              <w:r>
                <w:rPr>
                  <w:rStyle w:val="858"/>
                  <w:rFonts w:ascii="Times New Roman" w:hAnsi="Times New Roman" w:eastAsia="Times New Roman"/>
                  <w:color w:val="000000" w:themeColor="text1"/>
                  <w:szCs w:val="24"/>
                  <w:highlight w:val="none"/>
                </w:rPr>
              </w:r>
              <w:r>
                <w:rPr>
                  <w:sz w:val="24"/>
                  <w:szCs w:val="24"/>
                </w:rPr>
                <w:t xml:space="preserve">ЭТП АО «РАД»</w:t>
              </w:r>
              <w:r>
                <w:rPr>
                  <w:sz w:val="24"/>
                  <w:szCs w:val="24"/>
                </w:rPr>
                <w:t xml:space="preserve"> по адресу в сети «Интернет»: 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https://tender.lot-online.ru</w:t>
              </w:r>
              <w:r>
                <w:rPr>
                  <w:rStyle w:val="858"/>
                  <w:rFonts w:ascii="Times New Roman" w:hAnsi="Times New Roman" w:eastAsia="Times New Roman"/>
                  <w:color w:val="000000" w:themeColor="text1"/>
                  <w:szCs w:val="24"/>
                  <w:highlight w:val="none"/>
                </w:rPr>
              </w:r>
              <w:r>
                <w:rPr>
                  <w:rStyle w:val="858"/>
                  <w:rFonts w:ascii="Times New Roman" w:hAnsi="Times New Roman" w:eastAsia="Times New Roman"/>
                  <w:color w:val="000000" w:themeColor="text1"/>
                  <w:szCs w:val="24"/>
                  <w:highlight w:val="none"/>
                </w:rPr>
              </w:r>
              <w:r>
                <w:rPr>
                  <w:rStyle w:val="858"/>
                  <w:rFonts w:ascii="Times New Roman" w:hAnsi="Times New Roman" w:eastAsia="Times New Roman"/>
                  <w:color w:val="000000" w:themeColor="text1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/>
                <w:color w:val="000000" w:themeColor="text1"/>
                <w:szCs w:val="24"/>
                <w:highlight w:val="none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12"/>
        </w:trPr>
        <w:tc>
          <w:tcPr>
            <w:tcW w:w="3128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Разъяснения предоставлены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085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</w:t>
            </w:r>
            <w:r>
              <w:rPr>
                <w:highlight w:val="white"/>
              </w:rPr>
              <w:t xml:space="preserve">.06.2026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r/>
      <w:r/>
    </w:p>
    <w:p>
      <w:r/>
      <w:r/>
    </w:p>
    <w:p>
      <w:r/>
      <w:r/>
    </w:p>
    <w:sectPr>
      <w:footnotePr/>
      <w:endnotePr/>
      <w:type w:val="nextPage"/>
      <w:pgSz w:w="11905" w:h="16837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Liberation Serif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10"/>
        <w:tabs>
          <w:tab w:val="num" w:pos="88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90" w:hanging="864"/>
        <w:tabs>
          <w:tab w:val="num" w:pos="1290" w:leader="none"/>
        </w:tabs>
      </w:pPr>
      <w:rPr>
        <w:rFonts w:hint="default" w:ascii="Times New Roman" w:hAnsi="Times New Roman" w:cs="Times New Roman"/>
        <w:b w:val="0"/>
        <w:sz w:val="24"/>
        <w:szCs w:val="24"/>
      </w:rPr>
    </w:lvl>
    <w:lvl w:ilvl="4">
      <w:start w:val="1"/>
      <w:numFmt w:val="russianLower"/>
      <w:isLgl w:val="false"/>
      <w:suff w:val="tab"/>
      <w:lvlText w:val="%5)"/>
      <w:lvlJc w:val="left"/>
      <w:pPr>
        <w:ind w:left="928" w:hanging="360"/>
        <w:tabs>
          <w:tab w:val="num" w:pos="928" w:leader="none"/>
        </w:tabs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5">
      <w:start w:val="1"/>
      <w:numFmt w:val="decimal"/>
      <w:isLgl w:val="false"/>
      <w:suff w:val="tab"/>
      <w:lvlText w:val="%5.%6.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10"/>
        <w:tabs>
          <w:tab w:val="num" w:pos="88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90" w:hanging="864"/>
        <w:tabs>
          <w:tab w:val="num" w:pos="1290" w:leader="none"/>
        </w:tabs>
      </w:pPr>
      <w:rPr>
        <w:rFonts w:hint="default" w:ascii="Times New Roman" w:hAnsi="Times New Roman" w:cs="Times New Roman"/>
        <w:b w:val="0"/>
        <w:sz w:val="24"/>
        <w:szCs w:val="24"/>
      </w:rPr>
    </w:lvl>
    <w:lvl w:ilvl="4">
      <w:start w:val="1"/>
      <w:numFmt w:val="russianLower"/>
      <w:isLgl w:val="false"/>
      <w:suff w:val="tab"/>
      <w:lvlText w:val="%5)"/>
      <w:lvlJc w:val="left"/>
      <w:pPr>
        <w:ind w:left="928" w:hanging="360"/>
        <w:tabs>
          <w:tab w:val="num" w:pos="928" w:leader="none"/>
        </w:tabs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5">
      <w:start w:val="1"/>
      <w:numFmt w:val="decimal"/>
      <w:isLgl w:val="false"/>
      <w:suff w:val="tab"/>
      <w:lvlText w:val="%5.%6.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4"/>
        <w:tabs>
          <w:tab w:val="num" w:pos="454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90" w:hanging="864"/>
        <w:tabs>
          <w:tab w:val="num" w:pos="1290" w:leader="none"/>
        </w:tabs>
      </w:pPr>
      <w:rPr>
        <w:rFonts w:hint="default" w:ascii="Times New Roman" w:hAnsi="Times New Roman" w:cs="Times New Roman"/>
        <w:sz w:val="24"/>
        <w:szCs w:val="24"/>
      </w:rPr>
    </w:lvl>
    <w:lvl w:ilvl="4">
      <w:start w:val="1"/>
      <w:numFmt w:val="russianLower"/>
      <w:isLgl w:val="false"/>
      <w:suff w:val="tab"/>
      <w:lvlText w:val="%5)"/>
      <w:lvlJc w:val="left"/>
      <w:pPr>
        <w:ind w:left="928" w:hanging="360"/>
        <w:tabs>
          <w:tab w:val="num" w:pos="928" w:leader="none"/>
        </w:tabs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5">
      <w:start w:val="1"/>
      <w:numFmt w:val="decimal"/>
      <w:isLgl w:val="false"/>
      <w:suff w:val="tab"/>
      <w:lvlText w:val="%5.%6.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6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 w:default="1">
    <w:name w:val="Normal"/>
  </w:style>
  <w:style w:type="paragraph" w:styleId="677">
    <w:name w:val="Heading 1"/>
    <w:basedOn w:val="676"/>
    <w:next w:val="67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8">
    <w:name w:val="Heading 2"/>
    <w:basedOn w:val="676"/>
    <w:next w:val="676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9">
    <w:name w:val="Heading 3"/>
    <w:basedOn w:val="676"/>
    <w:next w:val="676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676"/>
    <w:next w:val="676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6"/>
    <w:next w:val="676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2">
    <w:name w:val="Heading 6"/>
    <w:basedOn w:val="676"/>
    <w:next w:val="676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676"/>
    <w:next w:val="676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676"/>
    <w:next w:val="676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676"/>
    <w:next w:val="6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Caption Char"/>
    <w:uiPriority w:val="99"/>
  </w:style>
  <w:style w:type="character" w:styleId="690" w:customStyle="1">
    <w:name w:val="Heading 1 Char"/>
    <w:basedOn w:val="686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6"/>
    <w:uiPriority w:val="9"/>
    <w:rPr>
      <w:rFonts w:ascii="Arial" w:hAnsi="Arial" w:eastAsia="Arial" w:cs="Arial"/>
      <w:sz w:val="34"/>
    </w:rPr>
  </w:style>
  <w:style w:type="character" w:styleId="692" w:customStyle="1">
    <w:name w:val="Heading 3 Char"/>
    <w:basedOn w:val="686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Heading 4 Char"/>
    <w:basedOn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Heading 5 Char"/>
    <w:basedOn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Heading 6 Char"/>
    <w:basedOn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Heading 7 Char"/>
    <w:basedOn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Heading 8 Char"/>
    <w:basedOn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Heading 9 Char"/>
    <w:basedOn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6"/>
    <w:uiPriority w:val="10"/>
    <w:rPr>
      <w:sz w:val="48"/>
      <w:szCs w:val="48"/>
    </w:rPr>
  </w:style>
  <w:style w:type="character" w:styleId="700" w:customStyle="1">
    <w:name w:val="Subtitle Char"/>
    <w:basedOn w:val="686"/>
    <w:uiPriority w:val="11"/>
    <w:rPr>
      <w:sz w:val="24"/>
      <w:szCs w:val="24"/>
    </w:rPr>
  </w:style>
  <w:style w:type="character" w:styleId="701" w:customStyle="1">
    <w:name w:val="Quote Char"/>
    <w:uiPriority w:val="29"/>
    <w:rPr>
      <w:i/>
    </w:rPr>
  </w:style>
  <w:style w:type="character" w:styleId="702" w:customStyle="1">
    <w:name w:val="Intense Quote Char"/>
    <w:uiPriority w:val="30"/>
    <w:rPr>
      <w:i/>
    </w:rPr>
  </w:style>
  <w:style w:type="character" w:styleId="703" w:customStyle="1">
    <w:name w:val="Header Char"/>
    <w:basedOn w:val="686"/>
    <w:uiPriority w:val="99"/>
  </w:style>
  <w:style w:type="character" w:styleId="704" w:customStyle="1">
    <w:name w:val="Название объекта Знак"/>
    <w:link w:val="730"/>
    <w:uiPriority w:val="99"/>
  </w:style>
  <w:style w:type="character" w:styleId="705" w:customStyle="1">
    <w:name w:val="Footnote Text Char"/>
    <w:uiPriority w:val="99"/>
    <w:rPr>
      <w:sz w:val="18"/>
    </w:rPr>
  </w:style>
  <w:style w:type="character" w:styleId="706" w:customStyle="1">
    <w:name w:val="Endnote Text Char"/>
    <w:uiPriority w:val="99"/>
    <w:rPr>
      <w:sz w:val="20"/>
    </w:rPr>
  </w:style>
  <w:style w:type="character" w:styleId="707" w:customStyle="1">
    <w:name w:val="Заголовок 1 Знак"/>
    <w:link w:val="677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link w:val="678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link w:val="679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76"/>
    <w:uiPriority w:val="34"/>
    <w:qFormat/>
    <w:pPr>
      <w:contextualSpacing/>
      <w:ind w:left="720"/>
    </w:pPr>
  </w:style>
  <w:style w:type="paragraph" w:styleId="717">
    <w:name w:val="No Spacing"/>
    <w:uiPriority w:val="1"/>
    <w:qFormat/>
  </w:style>
  <w:style w:type="paragraph" w:styleId="718">
    <w:name w:val="Title"/>
    <w:basedOn w:val="676"/>
    <w:next w:val="6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Заголовок Знак"/>
    <w:link w:val="718"/>
    <w:uiPriority w:val="10"/>
    <w:rPr>
      <w:sz w:val="48"/>
      <w:szCs w:val="48"/>
    </w:rPr>
  </w:style>
  <w:style w:type="paragraph" w:styleId="720">
    <w:name w:val="Subtitle"/>
    <w:basedOn w:val="676"/>
    <w:next w:val="676"/>
    <w:link w:val="721"/>
    <w:uiPriority w:val="11"/>
    <w:qFormat/>
    <w:pPr>
      <w:spacing w:before="200" w:after="200"/>
    </w:pPr>
  </w:style>
  <w:style w:type="character" w:styleId="721" w:customStyle="1">
    <w:name w:val="Подзаголовок Знак"/>
    <w:link w:val="720"/>
    <w:uiPriority w:val="11"/>
    <w:rPr>
      <w:sz w:val="24"/>
      <w:szCs w:val="24"/>
    </w:rPr>
  </w:style>
  <w:style w:type="paragraph" w:styleId="722">
    <w:name w:val="Quote"/>
    <w:basedOn w:val="676"/>
    <w:next w:val="676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76"/>
    <w:next w:val="676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paragraph" w:styleId="726">
    <w:name w:val="Header"/>
    <w:basedOn w:val="676"/>
    <w:link w:val="72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7" w:customStyle="1">
    <w:name w:val="Верхний колонтитул Знак"/>
    <w:link w:val="726"/>
    <w:uiPriority w:val="99"/>
  </w:style>
  <w:style w:type="paragraph" w:styleId="728">
    <w:name w:val="Footer"/>
    <w:basedOn w:val="676"/>
    <w:link w:val="73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9" w:customStyle="1">
    <w:name w:val="Footer Char"/>
    <w:uiPriority w:val="99"/>
  </w:style>
  <w:style w:type="paragraph" w:styleId="730">
    <w:name w:val="Caption"/>
    <w:basedOn w:val="676"/>
    <w:next w:val="676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 w:customStyle="1">
    <w:name w:val="Нижний колонтитул Знак"/>
    <w:link w:val="728"/>
    <w:uiPriority w:val="99"/>
  </w:style>
  <w:style w:type="table" w:styleId="73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676"/>
    <w:link w:val="860"/>
    <w:uiPriority w:val="99"/>
    <w:semiHidden/>
    <w:unhideWhenUsed/>
    <w:pPr>
      <w:spacing w:after="40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paragraph" w:styleId="861">
    <w:name w:val="endnote text"/>
    <w:basedOn w:val="676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676"/>
    <w:next w:val="676"/>
    <w:uiPriority w:val="39"/>
    <w:unhideWhenUsed/>
    <w:pPr>
      <w:spacing w:after="57"/>
    </w:pPr>
  </w:style>
  <w:style w:type="paragraph" w:styleId="865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66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67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68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69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70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71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72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76"/>
    <w:next w:val="676"/>
    <w:uiPriority w:val="99"/>
    <w:unhideWhenUsed/>
  </w:style>
  <w:style w:type="character" w:styleId="875">
    <w:name w:val="footnote reference"/>
    <w:semiHidden/>
    <w:unhideWhenUsed/>
    <w:rPr>
      <w:vertAlign w:val="superscript"/>
    </w:rPr>
  </w:style>
  <w:style w:type="paragraph" w:styleId="876" w:customStyle="1">
    <w:name w:val="Пункт2"/>
    <w:uiPriority w:val="99"/>
    <w:semiHidden/>
    <w:pPr>
      <w:jc w:val="both"/>
      <w:spacing w:after="200" w:line="276" w:lineRule="auto"/>
      <w:tabs>
        <w:tab w:val="left" w:pos="1134" w:leader="none"/>
        <w:tab w:val="num" w:pos="5671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/>
      <w:szCs w:val="22"/>
      <w:lang w:eastAsia="en-US"/>
    </w:rPr>
  </w:style>
  <w:style w:type="paragraph" w:styleId="877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roseltor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65052-FFBA-44B6-A1FF-B1236B51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Manager/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Чеголя Алина Валерьевна</dc:creator>
  <cp:keywords/>
  <dc:description/>
  <cp:revision>23</cp:revision>
  <dcterms:created xsi:type="dcterms:W3CDTF">2026-05-19T15:10:00Z</dcterms:created>
  <dcterms:modified xsi:type="dcterms:W3CDTF">2026-06-25T07:20:58Z</dcterms:modified>
  <cp:category/>
</cp:coreProperties>
</file>