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2323D6AB"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534457">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7BD94BC0" w14:textId="399A1BDB" w:rsidR="004424F1" w:rsidRPr="004424F1" w:rsidRDefault="000D225A" w:rsidP="00D836F4">
      <w:pPr>
        <w:autoSpaceDE w:val="0"/>
        <w:autoSpaceDN w:val="0"/>
        <w:adjustRightInd w:val="0"/>
        <w:jc w:val="center"/>
        <w:rPr>
          <w:rFonts w:ascii="Times New Roman" w:hAnsi="Times New Roman" w:cs="Times New Roman"/>
          <w:b/>
          <w:color w:val="000000"/>
          <w:sz w:val="24"/>
          <w:szCs w:val="24"/>
        </w:rPr>
      </w:pPr>
      <w:r w:rsidRPr="000D225A">
        <w:rPr>
          <w:rFonts w:ascii="Times New Roman" w:hAnsi="Times New Roman" w:cs="Times New Roman"/>
          <w:b/>
          <w:color w:val="000000"/>
          <w:sz w:val="24"/>
          <w:szCs w:val="24"/>
        </w:rPr>
        <w:t xml:space="preserve">для ОПС 413413 по адресу: Российская Федерация, Саратовская область, </w:t>
      </w:r>
      <w:proofErr w:type="spellStart"/>
      <w:r w:rsidRPr="000D225A">
        <w:rPr>
          <w:rFonts w:ascii="Times New Roman" w:hAnsi="Times New Roman" w:cs="Times New Roman"/>
          <w:b/>
          <w:color w:val="000000"/>
          <w:sz w:val="24"/>
          <w:szCs w:val="24"/>
        </w:rPr>
        <w:t>м.р</w:t>
      </w:r>
      <w:proofErr w:type="spellEnd"/>
      <w:r w:rsidRPr="000D225A">
        <w:rPr>
          <w:rFonts w:ascii="Times New Roman" w:hAnsi="Times New Roman" w:cs="Times New Roman"/>
          <w:b/>
          <w:color w:val="000000"/>
          <w:sz w:val="24"/>
          <w:szCs w:val="24"/>
        </w:rPr>
        <w:t xml:space="preserve">-н Федоровский, </w:t>
      </w:r>
      <w:proofErr w:type="spellStart"/>
      <w:r w:rsidRPr="000D225A">
        <w:rPr>
          <w:rFonts w:ascii="Times New Roman" w:hAnsi="Times New Roman" w:cs="Times New Roman"/>
          <w:b/>
          <w:color w:val="000000"/>
          <w:sz w:val="24"/>
          <w:szCs w:val="24"/>
        </w:rPr>
        <w:t>с.п</w:t>
      </w:r>
      <w:proofErr w:type="spellEnd"/>
      <w:r w:rsidRPr="000D225A">
        <w:rPr>
          <w:rFonts w:ascii="Times New Roman" w:hAnsi="Times New Roman" w:cs="Times New Roman"/>
          <w:b/>
          <w:color w:val="000000"/>
          <w:sz w:val="24"/>
          <w:szCs w:val="24"/>
        </w:rPr>
        <w:t xml:space="preserve">. Федоровское, с. Федоровка, ул. Им </w:t>
      </w:r>
      <w:proofErr w:type="spellStart"/>
      <w:r w:rsidRPr="000D225A">
        <w:rPr>
          <w:rFonts w:ascii="Times New Roman" w:hAnsi="Times New Roman" w:cs="Times New Roman"/>
          <w:b/>
          <w:color w:val="000000"/>
          <w:sz w:val="24"/>
          <w:szCs w:val="24"/>
        </w:rPr>
        <w:t>Гавва</w:t>
      </w:r>
      <w:proofErr w:type="spellEnd"/>
      <w:r w:rsidRPr="000D225A">
        <w:rPr>
          <w:rFonts w:ascii="Times New Roman" w:hAnsi="Times New Roman" w:cs="Times New Roman"/>
          <w:b/>
          <w:color w:val="000000"/>
          <w:sz w:val="24"/>
          <w:szCs w:val="24"/>
        </w:rPr>
        <w:t xml:space="preserve"> И.С., з/у 80а</w:t>
      </w:r>
      <w:bookmarkStart w:id="0" w:name="_GoBack"/>
      <w:bookmarkEnd w:id="0"/>
    </w:p>
    <w:tbl>
      <w:tblPr>
        <w:tblW w:w="101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815"/>
        <w:gridCol w:w="1650"/>
        <w:gridCol w:w="7"/>
      </w:tblGrid>
      <w:tr w:rsidR="00D836F4" w:rsidRPr="008E20D8" w14:paraId="0C18A047" w14:textId="77777777" w:rsidTr="00534457">
        <w:trPr>
          <w:gridAfter w:val="1"/>
          <w:wAfter w:w="7" w:type="dxa"/>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815"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815"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534457">
        <w:trPr>
          <w:gridAfter w:val="1"/>
          <w:wAfter w:w="7" w:type="dxa"/>
        </w:trPr>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E63A27">
              <w:rPr>
                <w:rFonts w:ascii="Times New Roman" w:hAnsi="Times New Roman"/>
                <w:color w:val="000000"/>
                <w:sz w:val="24"/>
                <w:szCs w:val="24"/>
              </w:rPr>
              <w:lastRenderedPageBreak/>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815"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534457">
        <w:trPr>
          <w:trHeight w:val="300"/>
        </w:trPr>
        <w:tc>
          <w:tcPr>
            <w:tcW w:w="10163" w:type="dxa"/>
            <w:gridSpan w:val="7"/>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FA1C" w14:textId="77777777" w:rsidR="0009021C" w:rsidRDefault="0009021C" w:rsidP="00467A1E">
      <w:pPr>
        <w:spacing w:after="0" w:line="240" w:lineRule="auto"/>
      </w:pPr>
      <w:r>
        <w:separator/>
      </w:r>
    </w:p>
  </w:endnote>
  <w:endnote w:type="continuationSeparator" w:id="0">
    <w:p w14:paraId="111D4D47" w14:textId="77777777" w:rsidR="0009021C" w:rsidRDefault="0009021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14330" w14:textId="77777777" w:rsidR="0009021C" w:rsidRDefault="0009021C" w:rsidP="00467A1E">
      <w:pPr>
        <w:spacing w:after="0" w:line="240" w:lineRule="auto"/>
      </w:pPr>
      <w:r>
        <w:separator/>
      </w:r>
    </w:p>
  </w:footnote>
  <w:footnote w:type="continuationSeparator" w:id="0">
    <w:p w14:paraId="1D557A54" w14:textId="77777777" w:rsidR="0009021C" w:rsidRDefault="0009021C"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021C"/>
    <w:rsid w:val="00097869"/>
    <w:rsid w:val="000A3A3B"/>
    <w:rsid w:val="000B26BE"/>
    <w:rsid w:val="000D225A"/>
    <w:rsid w:val="000D6C34"/>
    <w:rsid w:val="001040FD"/>
    <w:rsid w:val="00115497"/>
    <w:rsid w:val="00152D26"/>
    <w:rsid w:val="00173843"/>
    <w:rsid w:val="00183A9A"/>
    <w:rsid w:val="001942D6"/>
    <w:rsid w:val="001E2205"/>
    <w:rsid w:val="002234AE"/>
    <w:rsid w:val="00275C8C"/>
    <w:rsid w:val="002A5C49"/>
    <w:rsid w:val="002C6428"/>
    <w:rsid w:val="002F3D57"/>
    <w:rsid w:val="004424F1"/>
    <w:rsid w:val="00466831"/>
    <w:rsid w:val="00467A1E"/>
    <w:rsid w:val="00477820"/>
    <w:rsid w:val="004D4ACB"/>
    <w:rsid w:val="00534457"/>
    <w:rsid w:val="00574EDB"/>
    <w:rsid w:val="00595780"/>
    <w:rsid w:val="005A321D"/>
    <w:rsid w:val="005D19C6"/>
    <w:rsid w:val="006461DB"/>
    <w:rsid w:val="006F7A1C"/>
    <w:rsid w:val="007044E0"/>
    <w:rsid w:val="00735B0C"/>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B06E3-3B66-405E-9FB7-AEA76FD3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Черненко Анастасия Викторовна</cp:lastModifiedBy>
  <cp:revision>5</cp:revision>
  <dcterms:created xsi:type="dcterms:W3CDTF">2026-06-23T09:50:00Z</dcterms:created>
  <dcterms:modified xsi:type="dcterms:W3CDTF">2026-06-25T11:30:00Z</dcterms:modified>
</cp:coreProperties>
</file>