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embeddings/oleObject1.docx" ContentType="application/vnd.openxmlformats-officedocument.wordprocessingml.document"/>
  <Override PartName="/word/embeddings/oleObject2.docx" ContentType="application/vnd.openxmlformats-officedocument.wordprocessingml.document"/>
  <Override PartName="/word/embeddings/oleObject3.docx" ContentType="application/vnd.openxmlformats-officedocument.wordprocessingml.document"/>
  <Override PartName="/word/embeddings/oleObject4.docx" ContentType="application/vnd.openxmlformats-officedocument.wordprocessingml.document"/>
  <Override PartName="/word/embeddings/oleObject5.docx" ContentType="application/vnd.openxmlformats-officedocument.wordprocessingml.document"/>
  <Override PartName="/word/embeddings/oleObject6.docx" ContentType="application/vnd.openxmlformats-officedocument.wordprocessingml.document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5400" w:after="240"/>
        <w:jc w:val="center"/>
        <w:rPr/>
      </w:pPr>
      <w:r>
        <w:rPr>
          <w:rFonts w:eastAsia="Calibri"/>
          <w:b/>
          <w:caps/>
          <w:color w:val="000000" w:themeColor="text1"/>
        </w:rPr>
        <w:t>Техническое задание</w:t>
      </w:r>
    </w:p>
    <w:p>
      <w:pPr>
        <w:pStyle w:val="Normal"/>
        <w:jc w:val="center"/>
        <w:rPr/>
      </w:pPr>
      <w:r>
        <w:rPr/>
        <w:t>НА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</w:t>
        <w:br/>
      </w:r>
      <w:r>
        <w:rPr>
          <w:rFonts w:eastAsia="Calibri"/>
          <w:caps/>
        </w:rPr>
        <w:t>В С. Чиркей, БУйнакского РАЙОНА, Республики</w:t>
      </w:r>
      <w:r>
        <w:rPr>
          <w:rFonts w:eastAsia="Calibri"/>
          <w:caps/>
          <w:sz w:val="24"/>
          <w:szCs w:val="24"/>
        </w:rPr>
        <w:t xml:space="preserve"> </w:t>
      </w:r>
      <w:r>
        <w:rPr>
          <w:rFonts w:eastAsia="Calibri"/>
          <w:caps/>
        </w:rPr>
        <w:t>дагестан</w:t>
      </w:r>
    </w:p>
    <w:p>
      <w:pPr>
        <w:pStyle w:val="Normal"/>
        <w:keepNext w:val="true"/>
        <w:keepLines/>
        <w:spacing w:before="240" w:after="24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30251804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251805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251806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251807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251808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251809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251810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251811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251812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251813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251814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251815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_Toc230251815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7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2"/>
        </w:numPr>
        <w:jc w:val="center"/>
        <w:rPr/>
      </w:pPr>
      <w:bookmarkStart w:id="0" w:name="_Toc198893760"/>
      <w:bookmarkStart w:id="1" w:name="_Toc51339692"/>
      <w:bookmarkStart w:id="2" w:name="_Toc230251804"/>
      <w:r>
        <w:rPr/>
        <w:t>Общие сведения</w:t>
      </w:r>
      <w:bookmarkEnd w:id="0"/>
      <w:bookmarkEnd w:id="1"/>
      <w:bookmarkEnd w:id="2"/>
    </w:p>
    <w:p>
      <w:pPr>
        <w:pStyle w:val="Heading2"/>
        <w:numPr>
          <w:ilvl w:val="1"/>
          <w:numId w:val="33"/>
        </w:numPr>
        <w:rPr/>
      </w:pPr>
      <w:bookmarkStart w:id="3" w:name="_Toc46743505"/>
      <w:bookmarkStart w:id="4" w:name="_Toc198893761"/>
      <w:bookmarkStart w:id="5" w:name="_Toc230251805"/>
      <w:r>
        <w:rPr/>
        <w:t>Обозначения и сокращения</w:t>
      </w:r>
      <w:bookmarkEnd w:id="3"/>
      <w:bookmarkEnd w:id="4"/>
      <w:bookmarkEnd w:id="5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3"/>
        <w:gridCol w:w="8"/>
        <w:gridCol w:w="8069"/>
      </w:tblGrid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АСУТП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Верхний уровень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МЩУ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Мозаичный щит управления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ПТК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>
        <w:trPr>
          <w:trHeight w:val="379" w:hRule="atLeast"/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автоматического управления</w:t>
            </w:r>
          </w:p>
        </w:tc>
      </w:tr>
      <w:tr>
        <w:trPr>
          <w:cantSplit w:val="true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подавшее заявку на участие в закупке</w:t>
            </w:r>
          </w:p>
        </w:tc>
      </w:tr>
      <w:tr>
        <w:trPr>
          <w:cantSplit w:val="true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обладающее полным спектром вещных прав на продукцию, выпускающее ее под своей торговой маркой самостоятельно (либо с привлечением услуг маркировщиков, упаковщиков, проектировщиков и изготовителей) и несущее полную ответственность за соблюдение требований безопасности, установленных в конкретной отрасли. Информация о нем в обязательном порядке указывается на продукции и доводится до Потребителя.</w:t>
            </w:r>
          </w:p>
        </w:tc>
      </w:tr>
      <w:tr>
        <w:trPr>
          <w:cantSplit w:val="true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закупочной процедуры, получивший право заключения договора</w:t>
            </w:r>
          </w:p>
        </w:tc>
      </w:tr>
    </w:tbl>
    <w:p>
      <w:pPr>
        <w:pStyle w:val="Heading4"/>
        <w:numPr>
          <w:ilvl w:val="1"/>
          <w:numId w:val="34"/>
        </w:numPr>
        <w:rPr/>
      </w:pPr>
      <w:bookmarkStart w:id="6" w:name="_Toc46743506"/>
      <w:bookmarkStart w:id="7" w:name="_Toc198893762"/>
      <w:bookmarkStart w:id="8" w:name="_Toc230251806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Normal"/>
        <w:jc w:val="both"/>
        <w:rPr/>
      </w:pPr>
      <w:r>
        <w:rPr>
          <w:sz w:val="24"/>
          <w:szCs w:val="24"/>
        </w:rPr>
        <w:t>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</w:t>
        <w:br/>
        <w:t>в с. Чиркей, Буйнакского района, Республики Дагестан.</w:t>
      </w:r>
    </w:p>
    <w:p>
      <w:pPr>
        <w:pStyle w:val="Heading4"/>
        <w:numPr>
          <w:ilvl w:val="1"/>
          <w:numId w:val="35"/>
        </w:numPr>
        <w:rPr/>
      </w:pPr>
      <w:bookmarkStart w:id="9" w:name="_Toc198893763"/>
      <w:bookmarkStart w:id="10" w:name="_Toc230251807"/>
      <w:bookmarkStart w:id="11" w:name="_Toc46743507"/>
      <w:r>
        <w:rPr/>
        <w:t xml:space="preserve">Цель </w:t>
      </w:r>
      <w:bookmarkEnd w:id="11"/>
      <w:r>
        <w:rPr/>
        <w:t>выполнения работ</w:t>
      </w:r>
      <w:bookmarkEnd w:id="9"/>
      <w:bookmarkEnd w:id="10"/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верхнего уровня АСУТП Чиркейской ГЭС.</w:t>
      </w:r>
    </w:p>
    <w:p>
      <w:pPr>
        <w:pStyle w:val="Heading4"/>
        <w:numPr>
          <w:ilvl w:val="1"/>
          <w:numId w:val="36"/>
        </w:numPr>
        <w:rPr/>
      </w:pPr>
      <w:bookmarkStart w:id="12" w:name="_Toc46743508"/>
      <w:bookmarkStart w:id="13" w:name="_Toc198893764"/>
      <w:bookmarkStart w:id="14" w:name="_Toc230251808"/>
      <w:r>
        <w:rPr/>
        <w:t>Существующее положение</w:t>
      </w:r>
      <w:bookmarkEnd w:id="12"/>
      <w:bookmarkEnd w:id="13"/>
      <w:bookmarkEnd w:id="14"/>
      <w:r>
        <w:rPr>
          <w:lang w:val="ru-RU"/>
        </w:rPr>
        <w:t xml:space="preserve"> </w:t>
      </w:r>
    </w:p>
    <w:p>
      <w:pPr>
        <w:pStyle w:val="ListParagraph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настоящее время на Чиркейской ГЭС отсутствует ВУ АСУТП, полностью соответствующий современным требованиям по функциональным возможностям и надежности, построенный на основании типовых проектных решений и принципов импортозамещения. </w:t>
      </w:r>
    </w:p>
    <w:p>
      <w:pPr>
        <w:pStyle w:val="ListParagraph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3"/>
        <w:gridCol w:w="4796"/>
        <w:gridCol w:w="2274"/>
        <w:gridCol w:w="2327"/>
      </w:tblGrid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производства работ)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Дагестан, Буйнакский район,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с. Чиркей, Чиркейская ГЭС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ВУ АСУТП</w:t>
            </w:r>
          </w:p>
        </w:tc>
      </w:tr>
    </w:tbl>
    <w:p>
      <w:pPr>
        <w:pStyle w:val="Heading1"/>
        <w:numPr>
          <w:ilvl w:val="0"/>
          <w:numId w:val="37"/>
        </w:numPr>
        <w:ind w:left="284" w:hanging="0"/>
        <w:jc w:val="center"/>
        <w:rPr/>
      </w:pPr>
      <w:bookmarkStart w:id="15" w:name="_Toc198893765"/>
      <w:bookmarkStart w:id="16" w:name="_Toc51339693"/>
      <w:bookmarkStart w:id="17" w:name="_Toc230251809"/>
      <w:r>
        <w:rPr/>
        <w:t>Требования к продукции</w:t>
      </w:r>
      <w:bookmarkEnd w:id="15"/>
      <w:bookmarkEnd w:id="16"/>
      <w:bookmarkEnd w:id="17"/>
    </w:p>
    <w:p>
      <w:pPr>
        <w:pStyle w:val="Heading4"/>
        <w:numPr>
          <w:ilvl w:val="1"/>
          <w:numId w:val="38"/>
        </w:numPr>
        <w:ind w:left="900" w:hanging="900"/>
        <w:rPr/>
      </w:pPr>
      <w:bookmarkStart w:id="18" w:name="_Toc198893766"/>
      <w:bookmarkStart w:id="19" w:name="_Toc230251810"/>
      <w:r>
        <w:rPr/>
        <w:t>Требования к объемам и срокам выполнения работ</w:t>
      </w:r>
      <w:bookmarkEnd w:id="18"/>
      <w:bookmarkEnd w:id="19"/>
    </w:p>
    <w:p>
      <w:pPr>
        <w:pStyle w:val="Heading3"/>
        <w:numPr>
          <w:ilvl w:val="2"/>
          <w:numId w:val="39"/>
        </w:numPr>
        <w:rPr/>
      </w:pPr>
      <w:bookmarkStart w:id="20" w:name="_Toc198893767"/>
      <w:bookmarkStart w:id="21" w:name="_Toc230251811"/>
      <w:r>
        <w:rPr/>
        <w:t>Требования к видам и объемам работ</w:t>
      </w:r>
      <w:bookmarkEnd w:id="20"/>
      <w:bookmarkEnd w:id="21"/>
    </w:p>
    <w:p>
      <w:pPr>
        <w:pStyle w:val="Normal"/>
        <w:spacing w:before="120" w:after="60"/>
        <w:jc w:val="right"/>
        <w:rPr>
          <w:b/>
          <w:bCs/>
          <w:sz w:val="24"/>
          <w:szCs w:val="24"/>
        </w:rPr>
      </w:pPr>
      <w:bookmarkStart w:id="22" w:name="_Toc51339695"/>
      <w:r>
        <w:rPr>
          <w:b/>
          <w:bCs/>
          <w:sz w:val="24"/>
          <w:szCs w:val="24"/>
        </w:rPr>
        <w:t xml:space="preserve">Таблица 2. Перечень </w:t>
      </w:r>
      <w:bookmarkEnd w:id="22"/>
      <w:r>
        <w:rPr>
          <w:b/>
          <w:bCs/>
          <w:sz w:val="24"/>
          <w:szCs w:val="24"/>
        </w:rPr>
        <w:t>и объем выполняемых работ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3"/>
        <w:gridCol w:w="6320"/>
        <w:gridCol w:w="1630"/>
        <w:gridCol w:w="1457"/>
      </w:tblGrid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40"/>
        </w:numPr>
        <w:rPr/>
      </w:pPr>
      <w:bookmarkStart w:id="23" w:name="_Toc198893768"/>
      <w:bookmarkStart w:id="24" w:name="_Toc230251812"/>
      <w:bookmarkStart w:id="25" w:name="_Toc51339696"/>
      <w:r>
        <w:rPr/>
        <w:t xml:space="preserve">Требования </w:t>
      </w:r>
      <w:bookmarkEnd w:id="25"/>
      <w:r>
        <w:rPr/>
        <w:t>к срокам выполнения работ</w:t>
      </w:r>
      <w:bookmarkEnd w:id="23"/>
      <w:bookmarkEnd w:id="24"/>
    </w:p>
    <w:p>
      <w:pPr>
        <w:pStyle w:val="Normal"/>
        <w:spacing w:before="0" w:after="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начала срока – дата, следующая за датой подписания договора (далее – Х)</w:t>
      </w:r>
    </w:p>
    <w:p>
      <w:pPr>
        <w:pStyle w:val="Normal"/>
        <w:spacing w:before="0" w:after="60"/>
        <w:rPr/>
      </w:pPr>
      <w:r>
        <w:rPr>
          <w:rFonts w:eastAsia="Calibri"/>
          <w:sz w:val="24"/>
          <w:szCs w:val="24"/>
        </w:rPr>
        <w:t>Сроки выполнения работ рассчитывается в календарных днях относительно даты начала в формате «Х+… к.д.»</w:t>
      </w:r>
      <w:r>
        <w:rPr/>
        <w:t xml:space="preserve"> </w:t>
      </w:r>
    </w:p>
    <w:p>
      <w:pPr>
        <w:pStyle w:val="Normal"/>
        <w:spacing w:before="120" w:after="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3. Требования по срокам выполнения работ</w:t>
      </w:r>
    </w:p>
    <w:p>
      <w:pPr>
        <w:pStyle w:val="Normal"/>
        <w:spacing w:before="0" w:after="6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3"/>
        <w:gridCol w:w="6320"/>
        <w:gridCol w:w="1630"/>
        <w:gridCol w:w="1457"/>
      </w:tblGrid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 w:val="false"/>
              <w:rPr/>
            </w:pPr>
            <w:r>
              <w:rPr/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Х+25 к.д.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418" w:right="567" w:gutter="0" w:header="0" w:top="567" w:footer="284" w:bottom="709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41"/>
        </w:numPr>
        <w:ind w:left="431" w:hanging="431"/>
        <w:rPr/>
      </w:pPr>
      <w:bookmarkStart w:id="26" w:name="_Toc198893769"/>
      <w:bookmarkStart w:id="27" w:name="_Toc230251813"/>
      <w:r>
        <w:rPr/>
        <w:t>Требования к качеству работ</w:t>
      </w:r>
      <w:bookmarkEnd w:id="26"/>
      <w:bookmarkEnd w:id="27"/>
    </w:p>
    <w:p>
      <w:pPr>
        <w:pStyle w:val="Normal"/>
        <w:snapToGrid w:val="false"/>
        <w:spacing w:before="60" w:after="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 (позиция № 1</w:t>
      </w:r>
      <w:r>
        <w:rPr>
          <w:i/>
          <w:iCs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</w:p>
    <w:p>
      <w:pPr>
        <w:pStyle w:val="Normal"/>
        <w:spacing w:before="0" w:after="120"/>
        <w:jc w:val="both"/>
        <w:rPr/>
      </w:pPr>
      <w:r>
        <w:rPr>
          <w:rFonts w:eastAsia="WenQuanYi Zen Hei Sharp"/>
          <w:iCs/>
          <w:kern w:val="2"/>
          <w:sz w:val="24"/>
          <w:szCs w:val="24"/>
          <w:lang w:eastAsia="zh-CN" w:bidi="hi-IN"/>
        </w:rPr>
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Дагестан.</w:t>
      </w:r>
    </w:p>
    <w:p>
      <w:pPr>
        <w:pStyle w:val="Normal"/>
        <w:spacing w:before="120" w:after="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 4. Требования к качеству работ</w:t>
      </w:r>
    </w:p>
    <w:tbl>
      <w:tblPr>
        <w:tblStyle w:val="affffc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3147"/>
        <w:gridCol w:w="11824"/>
      </w:tblGrid>
      <w:tr>
        <w:trPr>
          <w:tblHeader w:val="true"/>
          <w:trHeight w:val="71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8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  <w:trHeight w:val="71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9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</w:tr>
      <w:tr>
        <w:trPr>
          <w:trHeight w:val="453" w:hRule="atLeast"/>
        </w:trPr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Объекты и границы проектирования</w:t>
            </w:r>
          </w:p>
        </w:tc>
        <w:tc>
          <w:tcPr>
            <w:tcW w:w="118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Объектом проектирования является ВУ АСУТП Чиркейской ГЭС.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Границами проектирования по подключению и привязке оборудования полевого уровня являются выходные клеммы шкафов.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Объём проектирования</w:t>
            </w:r>
          </w:p>
        </w:tc>
        <w:tc>
          <w:tcPr>
            <w:tcW w:w="118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Разрабатываемая РД должна быть выполнена с привязкой расположения строительных конструкций и существующих кабеленесущих систем.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Исходные данные, необходимые для разработки РД, предоставляются Подрядчику после заключения Договора по результатам закупки.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составу рабочей документации</w:t>
            </w:r>
          </w:p>
        </w:tc>
        <w:tc>
          <w:tcPr>
            <w:tcW w:w="11824" w:type="dxa"/>
            <w:tcBorders/>
          </w:tcPr>
          <w:p>
            <w:pPr>
              <w:pStyle w:val="-3"/>
              <w:widowControl w:val="false"/>
              <w:tabs>
                <w:tab w:val="clear" w:pos="0"/>
              </w:tabs>
              <w:suppressAutoHyphens w:val="true"/>
              <w:spacing w:before="60" w:after="60"/>
              <w:ind w:left="0" w:hanging="0"/>
              <w:contextualSpacing w:val="false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должен разработать представить на утверждение Заказчику РД, состоящую из следующих разделов: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Кабельные связи.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Кабельные связи.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Раскаладка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Раскладка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Журнал контрольных и сетевых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Журнал контрольных и сетевых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Планы расстановки оборудования.</w:t>
            </w:r>
          </w:p>
          <w:p>
            <w:pPr>
              <w:pStyle w:val="ListParagraph"/>
              <w:widowControl w:val="false"/>
              <w:numPr>
                <w:ilvl w:val="3"/>
                <w:numId w:val="13"/>
              </w:numPr>
              <w:suppressAutoHyphens w:val="true"/>
              <w:spacing w:before="60" w:after="60"/>
              <w:ind w:left="851" w:hanging="0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Планы расстановки оборудования.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Результат работ</w:t>
            </w:r>
          </w:p>
        </w:tc>
        <w:tc>
          <w:tcPr>
            <w:tcW w:w="11824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Результатом работ является утвержденная Заказчиком РД </w:t>
            </w: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по модернизации ВУ АСУТП.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11824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Допуск персонала Подрядчика на объект Чиркейская ГЭС производится после прохождения им всех видов необходимых инструктажей с оформлением документов в соответствии с Приложением № 1 к Техническим требованиям - Регламент процесса «Допуск персонала подрядных организаций на объекты ПАО «РусГидро» и Методика допуска персонала подрядных организаций к выполнению работ на объектах ПАО «РусГидро».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Подготовку рабочих мест и допуск к выполнению работ выполняет персонал Чиркейской ГЭС.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оборудованию и программному обеспечению используемому для выполнения работ</w:t>
            </w:r>
          </w:p>
        </w:tc>
        <w:tc>
          <w:tcPr>
            <w:tcW w:w="11824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ходе выполнения разработки документации Подрядчик должен использовать оборудование и программное обеспечение, принадлежащее ему на законном основании, лицензионные ограничения правообладателей не должны препятствовать выполнению работ на объектах Заказчика.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Подрядчиком должно быть исключено применение личного оборудования и программного обеспечения принадлежащего работникам Подрядчика.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Для обмена с Заказчиком документами/сообщениями в цифровом (электронном) виде Подрядчик обязан использовать только корпоративные адреса электронной почты и файлообменные сервисы, Подрядчиком должно быть исключено использование личных и/или общедоступных адресов электронной почты и/или файлообменных сервисов сотрудников Подрядчика.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>
          <w:trHeight w:val="383" w:hRule="atLeast"/>
        </w:trPr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1182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При выполнении работ Подрядчик должен обеспечить соблюдение персоналом следующих требований: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Подрядчик должен соблюдать требования действующего федерального законодательства РФ, нормативных правовых актов субъектов РФ, в том числе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color w:val="000000" w:themeColor="text1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9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Style8"/>
                <w:rFonts w:eastAsia="Times New Roman" w:cs="Times New Roman"/>
                <w:bCs/>
                <w:i w:val="false"/>
                <w:color w:val="000000" w:themeColor="text1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71" w:type="dxa"/>
            <w:gridSpan w:val="2"/>
            <w:tcBorders>
              <w:top w:val="nil"/>
            </w:tcBorders>
            <w:vAlign w:val="center"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both"/>
              <w:rPr>
                <w:kern w:val="2"/>
                <w:szCs w:val="24"/>
                <w:lang w:eastAsia="en-US"/>
              </w:rPr>
            </w:pPr>
            <w:r>
              <w:rPr>
                <w:rStyle w:val="Style8"/>
                <w:rFonts w:eastAsia="Times New Roman" w:cs="Times New Roman"/>
                <w:bCs/>
                <w:i w:val="false"/>
                <w:color w:val="000000" w:themeColor="text1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Форма представления рабочей и сметной документации</w:t>
            </w:r>
          </w:p>
        </w:tc>
        <w:tc>
          <w:tcPr>
            <w:tcW w:w="11824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Разработанный ТРП передается Заказчику для согласования и утверждения на русском языке в следующих формах:</w:t>
            </w:r>
          </w:p>
          <w:tbl>
            <w:tblPr>
              <w:tblStyle w:val="affffc"/>
              <w:tblW w:w="10465" w:type="dxa"/>
              <w:jc w:val="left"/>
              <w:tblInd w:w="76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37"/>
              <w:gridCol w:w="3813"/>
              <w:gridCol w:w="2340"/>
              <w:gridCol w:w="1081"/>
              <w:gridCol w:w="1621"/>
              <w:gridCol w:w="1072"/>
            </w:tblGrid>
            <w:tr>
              <w:trPr/>
              <w:tc>
                <w:tcPr>
                  <w:tcW w:w="537" w:type="dxa"/>
                  <w:vMerge w:val="restart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№ </w:t>
                  </w: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п/п</w:t>
                  </w:r>
                </w:p>
              </w:tc>
              <w:tc>
                <w:tcPr>
                  <w:tcW w:w="3813" w:type="dxa"/>
                  <w:vMerge w:val="restart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Вид документа</w:t>
                  </w:r>
                </w:p>
              </w:tc>
              <w:tc>
                <w:tcPr>
                  <w:tcW w:w="6114" w:type="dxa"/>
                  <w:gridSpan w:val="4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Форма</w:t>
                  </w:r>
                </w:p>
              </w:tc>
            </w:tr>
            <w:tr>
              <w:trPr/>
              <w:tc>
                <w:tcPr>
                  <w:tcW w:w="537" w:type="dxa"/>
                  <w:vMerge w:val="continue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3813" w:type="dxa"/>
                  <w:vMerge w:val="continue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3421" w:type="dxa"/>
                  <w:gridSpan w:val="2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Электронный вид</w:t>
                    <w:br/>
                    <w:t>на CD</w:t>
                  </w:r>
                </w:p>
              </w:tc>
              <w:tc>
                <w:tcPr>
                  <w:tcW w:w="2693" w:type="dxa"/>
                  <w:gridSpan w:val="2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Бумажный вид</w:t>
                    <w:br/>
                    <w:t>в твердой копия</w:t>
                  </w:r>
                </w:p>
              </w:tc>
            </w:tr>
            <w:tr>
              <w:trPr>
                <w:trHeight w:val="64" w:hRule="atLeast"/>
              </w:trPr>
              <w:tc>
                <w:tcPr>
                  <w:tcW w:w="537" w:type="dxa"/>
                  <w:vMerge w:val="continue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0" w:after="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3813" w:type="dxa"/>
                  <w:vMerge w:val="continue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Формат</w:t>
                  </w:r>
                </w:p>
              </w:tc>
              <w:tc>
                <w:tcPr>
                  <w:tcW w:w="108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Кол-во</w:t>
                  </w:r>
                </w:p>
              </w:tc>
              <w:tc>
                <w:tcPr>
                  <w:tcW w:w="162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Формат</w:t>
                  </w:r>
                </w:p>
              </w:tc>
              <w:tc>
                <w:tcPr>
                  <w:tcW w:w="1072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Кол-во</w:t>
                  </w:r>
                </w:p>
              </w:tc>
            </w:tr>
            <w:tr>
              <w:trPr>
                <w:trHeight w:val="428" w:hRule="atLeast"/>
              </w:trPr>
              <w:tc>
                <w:tcPr>
                  <w:tcW w:w="537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813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Текстовые документы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*.doc, *.doc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х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, *.txt, *.odt,</w:t>
                  </w:r>
                  <w:r>
                    <w:rPr>
                      <w:rFonts w:eastAsia="Calibri" w:cs="Times New Roman" w:eastAsiaTheme="minorHAnsi"/>
                      <w:kern w:val="0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*.xodt, *.pdf</w:t>
                  </w:r>
                </w:p>
              </w:tc>
              <w:tc>
                <w:tcPr>
                  <w:tcW w:w="108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</w:t>
                  </w:r>
                </w:p>
              </w:tc>
              <w:tc>
                <w:tcPr>
                  <w:tcW w:w="1072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>
                <w:trHeight w:val="428" w:hRule="atLeast"/>
              </w:trPr>
              <w:tc>
                <w:tcPr>
                  <w:tcW w:w="537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813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Табличные формы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*.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xls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, *.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xlsx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, *.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ods</w:t>
                  </w:r>
                </w:p>
              </w:tc>
              <w:tc>
                <w:tcPr>
                  <w:tcW w:w="108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А4, А3</w:t>
                  </w:r>
                </w:p>
              </w:tc>
              <w:tc>
                <w:tcPr>
                  <w:tcW w:w="1072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/>
              <w:tc>
                <w:tcPr>
                  <w:tcW w:w="537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813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Чертежи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*. dwg, *.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pdf</w:t>
                  </w:r>
                </w:p>
              </w:tc>
              <w:tc>
                <w:tcPr>
                  <w:tcW w:w="108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А4, А3, А2</w:t>
                  </w:r>
                </w:p>
              </w:tc>
              <w:tc>
                <w:tcPr>
                  <w:tcW w:w="1072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/>
              <w:tc>
                <w:tcPr>
                  <w:tcW w:w="537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813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Презентационные материалы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*.pptx, *.ppsx, *.potm, *.potm, *.pptm</w:t>
                  </w:r>
                </w:p>
              </w:tc>
              <w:tc>
                <w:tcPr>
                  <w:tcW w:w="108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</w:t>
                  </w:r>
                </w:p>
              </w:tc>
              <w:tc>
                <w:tcPr>
                  <w:tcW w:w="1072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/>
              <w:tc>
                <w:tcPr>
                  <w:tcW w:w="537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813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Графики выполнения мероприятий</w:t>
                  </w:r>
                  <w:r>
                    <w:rPr>
                      <w:rStyle w:val="FootnoteReference"/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footnoteReference w:id="2"/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*.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xer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, *.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xml</w:t>
                  </w:r>
                </w:p>
              </w:tc>
              <w:tc>
                <w:tcPr>
                  <w:tcW w:w="108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1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А4, А3</w:t>
                  </w:r>
                </w:p>
              </w:tc>
              <w:tc>
                <w:tcPr>
                  <w:tcW w:w="1072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1418" w:hanging="567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Пофайловое разделение страниц отдельных томов (книг) документации в электронном виде документов не допускается.</w:t>
            </w:r>
          </w:p>
          <w:p>
            <w:pPr>
              <w:pStyle w:val="Normal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1418" w:hanging="567"/>
              <w:jc w:val="both"/>
              <w:rPr>
                <w:rFonts w:eastAsia="Calibri"/>
                <w:sz w:val="22"/>
                <w:szCs w:val="22"/>
              </w:rPr>
            </w:pPr>
            <w:bookmarkStart w:id="28" w:name="_Toc207088713"/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Твердая копия представляется сброшюрованном виде, оформленном в соответствии с требованиями раздела 8 ГОСТ Р 21.1101-2013 «Основные требования к проектной и рабочей документации»</w:t>
            </w:r>
            <w:bookmarkEnd w:id="28"/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Форматы представления документации и информации в электронном виде должны поддерживать работу в российской операционной системе «Alter OS» и офисном пакете «Alter Office» (программы AText, ACell, AConcept).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соответствию РД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нормативной базе</w:t>
            </w:r>
          </w:p>
        </w:tc>
        <w:tc>
          <w:tcPr>
            <w:tcW w:w="118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ru-RU" w:eastAsia="en-US" w:bidi="ar-SA"/>
              </w:rPr>
              <w:t>Разработать РД в соответствии со следующими стандартами</w:t>
            </w: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 Р 59793-2021 Автоматизированные системы. Стадии создания.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 34.602-2020 Информационные технологии (ИТ). Комплекс стандартов на автоматизированные системы. Техническое задание на создание автоматизированной системы.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 Р 59792-2021 Информационные технологии (ИТ). Комплекс стандартов на автоматизированные системы. Виды испытаний автоматизированных систем.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 Р 59795-2021 Информационные технологии (ИТ). Комплекс стандартов на автоматизированные системы. Автоматизированные системы. Требования к содержанию документов.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eastAsia="Times New Roman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 Р 59853-2021 Информационные технологии (ИТ). Комплекс стандартов на автоматизированные системы. Автоматизированные системы. Термины и определения.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Требования к происхождению продукции, указанной в РД</w:t>
            </w:r>
          </w:p>
        </w:tc>
        <w:tc>
          <w:tcPr>
            <w:tcW w:w="118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Описание продукции, применяемой в РД должно содержать номера реестровых записей соответствующих ее видам реестров: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Единого реестра российской радиоэлектронной продукции;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Единого реестра российских программ для электронных вычислительных машин и баз данных;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Единого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Реестра российской промышленной продукции;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851" w:hanging="851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Евразийского реестра промышленных товаров государств - членов Евразийского экономического союза.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footnotePr>
            <w:numFmt w:val="decimal"/>
          </w:footnotePr>
          <w:type w:val="nextPage"/>
          <w:pgSz w:orient="landscape" w:w="16838" w:h="11906"/>
          <w:pgMar w:left="567" w:right="567" w:gutter="0" w:header="0" w:top="1418" w:footer="284" w:bottom="709"/>
          <w:pgNumType w:start="5"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42"/>
        </w:numPr>
        <w:ind w:left="567" w:hanging="700"/>
        <w:jc w:val="center"/>
        <w:rPr/>
      </w:pPr>
      <w:bookmarkStart w:id="29" w:name="_Toc230251814"/>
      <w:r>
        <w:rPr/>
        <w:t>Требования к документации по ценообразованию на этапе закупки</w:t>
      </w:r>
      <w:bookmarkEnd w:id="29"/>
    </w:p>
    <w:p>
      <w:pPr>
        <w:pStyle w:val="Normal"/>
        <w:numPr>
          <w:ilvl w:val="1"/>
          <w:numId w:val="43"/>
        </w:numPr>
        <w:spacing w:before="60" w:after="60"/>
        <w:ind w:left="709" w:hanging="709"/>
        <w:jc w:val="both"/>
        <w:rPr/>
      </w:pPr>
      <w:bookmarkStart w:id="30" w:name="_GoBack"/>
      <w:bookmarkEnd w:id="30"/>
      <w:r>
        <w:rPr>
          <w:rFonts w:eastAsia="Calibri"/>
          <w:iCs/>
          <w:kern w:val="2"/>
          <w:sz w:val="24"/>
          <w:szCs w:val="24"/>
          <w:lang w:eastAsia="zh-CN" w:bidi="hi-IN"/>
        </w:rPr>
        <w:t>По результатам проведения закупки заключается договор с предельной стоимостью.</w:t>
      </w:r>
    </w:p>
    <w:p>
      <w:pPr>
        <w:pStyle w:val="Normal"/>
        <w:numPr>
          <w:ilvl w:val="1"/>
          <w:numId w:val="44"/>
        </w:numPr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t>В ходе участия в закупочной процедуре Участником должен:</w:t>
      </w:r>
    </w:p>
    <w:p>
      <w:pPr>
        <w:pStyle w:val="Normal"/>
        <w:numPr>
          <w:ilvl w:val="2"/>
          <w:numId w:val="45"/>
        </w:numPr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t>Ознакомиться с формами, содержащимися в Приложениях №№ 2-6 к Техническим требованиям.</w:t>
      </w:r>
    </w:p>
    <w:p>
      <w:pPr>
        <w:pStyle w:val="Normal"/>
        <w:numPr>
          <w:ilvl w:val="2"/>
          <w:numId w:val="46"/>
        </w:numPr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t>Сформировать и представить Заказчику заполненные формы Приложения № 3</w:t>
        <w:br/>
        <w:t>к Техническим требованиям.</w:t>
      </w:r>
    </w:p>
    <w:p>
      <w:pPr>
        <w:pStyle w:val="Normal"/>
        <w:numPr>
          <w:ilvl w:val="2"/>
          <w:numId w:val="47"/>
        </w:numPr>
        <w:spacing w:before="60" w:after="60"/>
        <w:ind w:left="709" w:hanging="709"/>
        <w:jc w:val="both"/>
        <w:rPr/>
      </w:pPr>
      <w:r>
        <w:rPr>
          <w:rFonts w:eastAsia="Calibri"/>
          <w:iCs/>
          <w:kern w:val="2"/>
          <w:sz w:val="24"/>
          <w:szCs w:val="24"/>
          <w:lang w:val="x-none" w:eastAsia="zh-CN" w:bidi="hi-IN"/>
        </w:rPr>
        <w:t>В случае признания Участника Победителем закупочной процедуры предоставить комплект документов для заключения договора, указанных в Приложении № 4</w:t>
        <w:br/>
        <w:t>к Техническим требованиям, а также заполненные формы Приложений №№ 5, 6</w:t>
        <w:br/>
        <w:t>к Техническим требованиям.</w:t>
      </w:r>
    </w:p>
    <w:p>
      <w:pPr>
        <w:pStyle w:val="Heading1"/>
        <w:numPr>
          <w:ilvl w:val="0"/>
          <w:numId w:val="48"/>
        </w:numPr>
        <w:jc w:val="center"/>
        <w:rPr/>
      </w:pPr>
      <w:bookmarkStart w:id="31" w:name="_Toc198893771"/>
      <w:bookmarkStart w:id="32" w:name="_Toc51339699"/>
      <w:bookmarkStart w:id="33" w:name="_Toc46743519"/>
      <w:bookmarkStart w:id="34" w:name="_Toc230251815"/>
      <w:bookmarkStart w:id="35" w:name="_Toc196486477"/>
      <w:bookmarkStart w:id="36" w:name="_Toc196486478"/>
      <w:bookmarkStart w:id="37" w:name="_Toc196486473"/>
      <w:bookmarkStart w:id="38" w:name="_Toc196486474"/>
      <w:bookmarkStart w:id="39" w:name="_Toc196486475"/>
      <w:bookmarkStart w:id="40" w:name="_Toc196486480"/>
      <w:bookmarkStart w:id="41" w:name="_Toc196486476"/>
      <w:bookmarkStart w:id="42" w:name="_Toc196486479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/>
        <w:t>Приложения</w:t>
      </w:r>
      <w:bookmarkEnd w:id="31"/>
      <w:bookmarkEnd w:id="32"/>
      <w:bookmarkEnd w:id="33"/>
      <w:bookmarkEnd w:id="34"/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Style w:val="4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9"/>
        <w:gridCol w:w="7101"/>
      </w:tblGrid>
      <w:tr>
        <w:trPr/>
        <w:tc>
          <w:tcPr>
            <w:tcW w:w="28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Ссылки на документ</w:t>
            </w:r>
          </w:p>
        </w:tc>
        <w:tc>
          <w:tcPr>
            <w:tcW w:w="7101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Наименование документа</w:t>
            </w:r>
          </w:p>
        </w:tc>
      </w:tr>
      <w:tr>
        <w:trPr/>
        <w:tc>
          <w:tcPr>
            <w:tcW w:w="28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43" w:name="_MON_1840864606"/>
            <w:bookmarkEnd w:id="43"/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" name="Прямоугольник 5" hidden="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" path="m0,0l-2147483645,0l-2147483645,-2147483646l0,-2147483646xe" stroked="f" o:allowincell="f" style="position:absolute;margin-left:0pt;margin-top:0.05pt;width:49.95pt;height: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  <w:object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76.5pt;height:49.5pt;mso-wrap-distance-right:0pt;mso-wrap-distance-bottom:6pt" filled="f" o:ole="">
                  <v:imagedata r:id="rId11" o:title=""/>
                </v:shape>
                <o:OLEObject Type="Embed" ProgID="Word.Document.12" ShapeID="ole_rId10" DrawAspect="Icon" ObjectID="_625714229" r:id="rId10"/>
              </w:object>
            </w:r>
          </w:p>
        </w:tc>
        <w:tc>
          <w:tcPr>
            <w:tcW w:w="7101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Cs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ПРИЛОЖЕНИЕ 1.</w:t>
              <w:br/>
              <w:t xml:space="preserve">РЕГЛАМЕНТ ПРОЦЕССА «ДОПУСКУ ПЕРСОНАЛА ПОДРЯДНЫХ ОРГАНИЗАЦИЙ К ВЫПОЛНЕНИЮ РАБОТ НА ОБЪЕКТАХ ПАО «РУСГИДРО» С МЕТОДИКОЙ ДОПУСКА ПЕРСОНАЛА. </w:t>
            </w:r>
          </w:p>
        </w:tc>
      </w:tr>
      <w:tr>
        <w:trPr/>
        <w:tc>
          <w:tcPr>
            <w:tcW w:w="28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44" w:name="_MON_1840865044"/>
            <w:bookmarkEnd w:id="44"/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2" name="Прямоугольник 4" hidden="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" path="m0,0l-2147483645,0l-2147483645,-2147483646l0,-2147483646xe" stroked="f" o:allowincell="f" style="position:absolute;margin-left:0pt;margin-top:0.05pt;width:49.95pt;height: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  <w:object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76.5pt;height:49.5pt;mso-wrap-distance-right:0pt;mso-wrap-distance-bottom:6pt" filled="f" o:ole="">
                  <v:imagedata r:id="rId13" o:title=""/>
                </v:shape>
                <o:OLEObject Type="Embed" ProgID="Word.Document.12" ShapeID="ole_rId12" DrawAspect="Icon" ObjectID="_262220792" r:id="rId12"/>
              </w:object>
            </w:r>
          </w:p>
        </w:tc>
        <w:tc>
          <w:tcPr>
            <w:tcW w:w="71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ПРИЛОЖЕНИЕ 2.</w:t>
              <w:br/>
              <w:t>ФОРМА ТЕХНИКО-КОММЕРЧЕСКОГО ПРЕДЛОЖЕНИЯ С ПРИЛОЖЕНИЯМИ ДЛЯ УЧАСТИЯ В ЗАКУПКЕ</w:t>
            </w:r>
          </w:p>
        </w:tc>
      </w:tr>
      <w:tr>
        <w:trPr/>
        <w:tc>
          <w:tcPr>
            <w:tcW w:w="28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45" w:name="_MON_1840615673"/>
            <w:bookmarkStart w:id="46" w:name="_MON_1840867004"/>
            <w:bookmarkEnd w:id="45"/>
            <w:bookmarkEnd w:id="46"/>
            <w:r>
              <w:rPr/>
              <mc:AlternateContent>
                <mc:Choice Requires="wps">
                  <w:drawing>
                    <wp:anchor behindDoc="0" distT="0" distB="0" distL="635" distR="0" simplePos="0" locked="0" layoutInCell="0" allowOverlap="1" relativeHeight="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" name="_x0000_tole_rId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_x0000_tole_rId12" path="m0,0l-2147483645,0l-2147483645,-2147483646l0,-2147483646xe" stroked="f" o:allowincell="f" style="position:absolute;margin-left:0.05pt;margin-top:0.05pt;width:49.95pt;height: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  <w:object>
                <v:shapetype id="_x0000_tole_rId14" coordsize="21600,21600" o:spt="ole_rId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" type="_x0000_tole_rId14" style="width:76.5pt;height:49.5pt;mso-wrap-distance-right:0pt;mso-wrap-distance-bottom:6pt" filled="f" o:ole="">
                  <v:imagedata r:id="rId15" o:title=""/>
                </v:shape>
                <o:OLEObject Type="Embed" ProgID="Word.Document.12" ShapeID="ole_rId14" DrawAspect="Icon" ObjectID="_1330458540" r:id="rId14"/>
              </w:object>
            </w:r>
          </w:p>
        </w:tc>
        <w:tc>
          <w:tcPr>
            <w:tcW w:w="7101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Cs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ПРИЛОЖЕНИЕ 3.</w:t>
              <w:br/>
              <w:t>ТРЕБОВАНИЯ К ОФОРМЛЕНИЮ И СОСТАВЛЕНИЮ СМЕТНОЙ ДОКУМЕНТАЦИИ.</w:t>
            </w:r>
            <w:bookmarkStart w:id="47" w:name="_MON_1840867655"/>
          </w:p>
        </w:tc>
      </w:tr>
      <w:tr>
        <w:trPr/>
        <w:tc>
          <w:tcPr>
            <w:tcW w:w="28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End w:id="47"/>
            <w:r>
              <w:rPr/>
              <w:object>
                <v:shapetype id="_x0000_tole_rId16" coordsize="21600,21600" o:spt="ole_rId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" type="_x0000_tole_rId16" style="width:76.5pt;height:49.5pt;mso-wrap-distance-right:0pt;mso-wrap-distance-bottom:6pt" filled="f" o:ole="">
                  <v:imagedata r:id="rId17" o:title=""/>
                </v:shape>
                <o:OLEObject Type="Embed" ProgID="Word.Document.12" ShapeID="ole_rId16" DrawAspect="Icon" ObjectID="_105487798" r:id="rId16"/>
              </w:object>
              <mc:AlternateContent>
                <mc:Choice Requires="wps">
                  <w:drawing>
                    <wp:anchor behindDoc="0" distT="0" distB="0" distL="635" distR="0" simplePos="0" locked="0" layoutInCell="0" allowOverlap="1" relativeHeight="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" name="_x0000_tole_rId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_x0000_tole_rId16" path="m0,0l-2147483645,0l-2147483645,-2147483646l0,-2147483646xe" stroked="f" o:allowincell="f" style="position:absolute;margin-left:0.05pt;margin-top:0.05pt;width:49.95pt;height: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101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aps/>
                <w:kern w:val="0"/>
                <w:sz w:val="24"/>
                <w:szCs w:val="24"/>
                <w:lang w:val="ru-RU" w:eastAsia="ru-RU" w:bidi="ar-SA"/>
              </w:rPr>
              <w:t>ПРИЛОЖЕНИЕ 4.</w:t>
              <w:br/>
              <w:t>Перечень документов для заключения договора</w:t>
            </w:r>
            <w:bookmarkStart w:id="48" w:name="_MON_1840867771"/>
          </w:p>
        </w:tc>
      </w:tr>
      <w:tr>
        <w:trPr/>
        <w:tc>
          <w:tcPr>
            <w:tcW w:w="28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End w:id="48"/>
            <w:r>
              <w:rPr/>
              <w:object>
                <v:shapetype id="_x0000_tole_rId18" coordsize="21600,21600" o:spt="ole_rId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" type="_x0000_tole_rId18" style="width:76.5pt;height:49.5pt;mso-wrap-distance-right:0pt;mso-wrap-distance-bottom:6pt" filled="f" o:ole="">
                  <v:imagedata r:id="rId19" o:title=""/>
                </v:shape>
                <o:OLEObject Type="Embed" ProgID="Word.Document.12" ShapeID="ole_rId18" DrawAspect="Icon" ObjectID="_1735995827" r:id="rId18"/>
              </w:object>
              <mc:AlternateContent>
                <mc:Choice Requires="wps">
                  <w:drawing>
                    <wp:anchor behindDoc="0" distT="0" distB="0" distL="635" distR="0" simplePos="0" locked="0" layoutInCell="0" allowOverlap="1" relativeHeight="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5" name="_x0000_tole_rId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_x0000_tole_rId17" path="m0,0l-2147483645,0l-2147483645,-2147483646l0,-2147483646xe" stroked="f" o:allowincell="f" style="position:absolute;margin-left:0.05pt;margin-top:0.05pt;width:49.95pt;height: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101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both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aps/>
                <w:kern w:val="0"/>
                <w:sz w:val="24"/>
                <w:szCs w:val="24"/>
                <w:lang w:val="ru-RU" w:eastAsia="ru-RU" w:bidi="ar-SA"/>
              </w:rPr>
              <w:t>ПРИЛОЖЕНИЕ 5.</w:t>
              <w:br/>
              <w:t>Заверение об обстоятельствах</w:t>
            </w:r>
            <w:bookmarkStart w:id="49" w:name="_MON_1840867847"/>
          </w:p>
        </w:tc>
      </w:tr>
      <w:tr>
        <w:trPr>
          <w:trHeight w:val="1434" w:hRule="atLeast"/>
        </w:trPr>
        <w:tc>
          <w:tcPr>
            <w:tcW w:w="28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End w:id="49"/>
            <w:r>
              <w:rPr/>
              <w:object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76.5pt;height:49.5pt;mso-wrap-distance-right:0pt;mso-wrap-distance-bottom:6pt" filled="f" o:ole="">
                  <v:imagedata r:id="rId21" o:title=""/>
                </v:shape>
                <o:OLEObject Type="Embed" ProgID="Word.Document.12" ShapeID="ole_rId20" DrawAspect="Icon" ObjectID="_1740591286" r:id="rId20"/>
              </w:object>
              <mc:AlternateContent>
                <mc:Choice Requires="wps">
                  <w:drawing>
                    <wp:anchor behindDoc="0" distT="0" distB="0" distL="635" distR="0" simplePos="0" locked="0" layoutInCell="0" allowOverlap="1" relativeHeight="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" name="_x0000_tole_rId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_x0000_tole_rId19" path="m0,0l-2147483645,0l-2147483645,-2147483646l0,-2147483646xe" stroked="f" o:allowincell="f" style="position:absolute;margin-left:0.05pt;margin-top:0.05pt;width:49.95pt;height: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101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both"/>
              <w:rPr>
                <w:bCs/>
                <w:caps/>
                <w:sz w:val="24"/>
                <w:szCs w:val="24"/>
              </w:rPr>
            </w:pPr>
            <w:r>
              <w:rPr>
                <w:rFonts w:eastAsia="Times New Roman" w:cs="Times New Roman"/>
                <w:caps/>
                <w:kern w:val="0"/>
                <w:sz w:val="24"/>
                <w:szCs w:val="24"/>
                <w:lang w:val="ru-RU" w:eastAsia="ru-RU" w:bidi="ar-SA"/>
              </w:rPr>
              <w:t>ПРИЛОЖЕНИЕ 6.</w:t>
              <w:br/>
              <w:t>Сведения о цепочке собственников, включая бенефициаров (в том числе конечных)</w:t>
            </w:r>
          </w:p>
        </w:tc>
      </w:tr>
    </w:tbl>
    <w:p>
      <w:pPr>
        <w:pStyle w:val="Normal"/>
        <w:rPr>
          <w:b/>
          <w:sz w:val="24"/>
          <w:szCs w:val="24"/>
          <w:lang w:val="x-none"/>
        </w:rPr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exact" w:line="24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>
            <w:pPr>
              <w:pStyle w:val="Normal"/>
              <w:widowControl w:val="false"/>
              <w:spacing w:lineRule="exact" w:line="24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«РГЦР»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</w:t>
            </w:r>
            <w:r>
              <w:rPr>
                <w:sz w:val="24"/>
                <w:szCs w:val="24"/>
              </w:rPr>
              <w:t>Д.А. Жуков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spacing w:lineRule="exact" w:line="24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Заблотский П.С.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</w:t>
            </w:r>
            <w:r>
              <w:rPr>
                <w:sz w:val="24"/>
                <w:szCs w:val="24"/>
              </w:rPr>
              <w:t>П.С. Заблотский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2"/>
      <w:headerReference w:type="first" r:id="rId23"/>
      <w:footerReference w:type="default" r:id="rId24"/>
      <w:footerReference w:type="first" r:id="rId25"/>
      <w:footnotePr>
        <w:numFmt w:val="decimal"/>
      </w:footnotePr>
      <w:type w:val="nextPage"/>
      <w:pgSz w:w="11906" w:h="16838"/>
      <w:pgMar w:left="1418" w:right="567" w:gutter="0" w:header="0" w:top="567" w:footer="284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8512168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6407153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322883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 xml:space="preserve">ПО </w:t>
      </w:r>
      <w:r>
        <w:rPr>
          <w:rFonts w:eastAsia="Calibri"/>
        </w:rPr>
        <w:t>Oracle Primavera (либо аналог по согласованию с Заказчиком)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left="4820" w:hanging="0"/>
      <w:jc w:val="right"/>
      <w:rPr/>
    </w:pPr>
    <w:r>
      <w:rPr>
        <w:sz w:val="22"/>
        <w:szCs w:val="22"/>
      </w:rPr>
      <w:t>Приложение № 1</w:t>
    </w:r>
  </w:p>
  <w:p>
    <w:pPr>
      <w:pStyle w:val="Normal"/>
      <w:spacing w:lineRule="auto" w:line="240"/>
      <w:ind w:left="4820" w:hanging="0"/>
      <w:jc w:val="right"/>
      <w:rPr/>
    </w:pPr>
    <w:r>
      <w:rPr>
        <w:sz w:val="22"/>
        <w:szCs w:val="22"/>
      </w:rPr>
      <w:t>к Договору подряда</w:t>
    </w:r>
  </w:p>
  <w:p>
    <w:pPr>
      <w:pStyle w:val="Normal"/>
      <w:spacing w:lineRule="auto" w:line="240"/>
      <w:ind w:left="4820" w:hanging="0"/>
      <w:jc w:val="right"/>
      <w:rPr/>
    </w:pPr>
    <w:r>
      <w:rPr>
        <w:sz w:val="22"/>
        <w:szCs w:val="22"/>
        <w:lang w:val="en-US"/>
      </w:rPr>
      <w:t>от «____» __________ 20 _ г. № 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4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b w:val="false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0" w:hanging="0"/>
      </w:pPr>
      <w:rPr>
        <w:sz w:val="24"/>
        <w:b w:val="false"/>
        <w:szCs w:val="24"/>
      </w:r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14"/>
    <w:lvlOverride w:ilvl="0">
      <w:startOverride w:val="1"/>
    </w:lvlOverride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 w:numId="48">
    <w:abstractNumId w:val="14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05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numPr>
        <w:ilvl w:val="1"/>
        <w:numId w:val="3"/>
      </w:numPr>
      <w:tabs>
        <w:tab w:val="clear" w:pos="-61"/>
        <w:tab w:val="clear" w:pos="0"/>
        <w:tab w:val="clear" w:pos="794"/>
      </w:tabs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b63de"/>
    <w:pPr>
      <w:keepNext w:val="true"/>
      <w:numPr>
        <w:ilvl w:val="2"/>
        <w:numId w:val="3"/>
      </w:numPr>
      <w:tabs>
        <w:tab w:val="clear" w:pos="708"/>
        <w:tab w:val="left" w:pos="-61" w:leader="none"/>
        <w:tab w:val="left" w:pos="794" w:leader="none"/>
      </w:tabs>
      <w:spacing w:before="120" w:after="6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-61" w:leader="none"/>
        <w:tab w:val="left" w:pos="0" w:leader="none"/>
        <w:tab w:val="left" w:pos="794" w:leader="none"/>
      </w:tabs>
      <w:ind w:left="432" w:hanging="432"/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b63de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7f430d"/>
    <w:rPr>
      <w:rFonts w:ascii="Arial" w:hAnsi="Arial" w:cs="Arial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Linenumber2" w:customStyle="1">
    <w:name w:val="line number2"/>
    <w:qFormat/>
    <w:rPr/>
  </w:style>
  <w:style w:type="character" w:styleId="Style17" w:customStyle="1">
    <w:name w:val="Нижний колонтитул Знак"/>
    <w:basedOn w:val="DefaultParagraphFont"/>
    <w:uiPriority w:val="99"/>
    <w:qFormat/>
    <w:rsid w:val="00e32a9a"/>
    <w:rPr>
      <w:sz w:val="28"/>
      <w:szCs w:val="28"/>
    </w:rPr>
  </w:style>
  <w:style w:type="character" w:styleId="-1" w:customStyle="1">
    <w:name w:val="Таблица - список 1 Знак"/>
    <w:basedOn w:val="Style7"/>
    <w:link w:val="-11"/>
    <w:qFormat/>
    <w:rsid w:val="00d7235c"/>
    <w:rPr>
      <w:rFonts w:eastAsia="Calibri"/>
      <w:kern w:val="2"/>
      <w:sz w:val="24"/>
      <w:szCs w:val="24"/>
      <w14:ligatures w14:val="standardContextual"/>
    </w:rPr>
  </w:style>
  <w:style w:type="character" w:styleId="Linenumber3" w:customStyle="1">
    <w:name w:val="line number3"/>
    <w:qFormat/>
    <w:rPr/>
  </w:style>
  <w:style w:type="character" w:styleId="Linenumber4" w:customStyle="1">
    <w:name w:val="line number4"/>
    <w:qFormat/>
    <w:rPr/>
  </w:style>
  <w:style w:type="character" w:styleId="Linenumber5" w:customStyle="1">
    <w:name w:val="line number5"/>
    <w:qFormat/>
    <w:rPr/>
  </w:style>
  <w:style w:type="character" w:styleId="Linenumber6" w:customStyle="1">
    <w:name w:val="line number6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111" w:customStyle="1">
    <w:name w:val="index heading111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63252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11" w:customStyle="1">
    <w:name w:val="caption11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-61"/>
        <w:tab w:val="clear" w:pos="794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-2" w:customStyle="1">
    <w:name w:val="Таблица - текст"/>
    <w:basedOn w:val="Normal"/>
    <w:qFormat/>
    <w:pPr>
      <w:spacing w:before="0" w:after="0"/>
      <w:contextualSpacing/>
    </w:pPr>
    <w:rPr>
      <w:sz w:val="20"/>
    </w:rPr>
  </w:style>
  <w:style w:type="paragraph" w:styleId="-3" w:customStyle="1">
    <w:name w:val="Таблица - список"/>
    <w:basedOn w:val="-2"/>
    <w:qFormat/>
    <w:pPr>
      <w:tabs>
        <w:tab w:val="clear" w:pos="708"/>
        <w:tab w:val="left" w:pos="0" w:leader="none"/>
      </w:tabs>
      <w:ind w:left="366" w:hanging="0"/>
    </w:pPr>
    <w:rPr/>
  </w:style>
  <w:style w:type="paragraph" w:styleId="Default" w:customStyle="1">
    <w:name w:val="Default"/>
    <w:qFormat/>
    <w:rsid w:val="00e32a9a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-11" w:customStyle="1">
    <w:name w:val="Таблица - список 1"/>
    <w:basedOn w:val="ListParagraph"/>
    <w:link w:val="-1"/>
    <w:qFormat/>
    <w:rsid w:val="00d7235c"/>
    <w:pPr>
      <w:numPr>
        <w:ilvl w:val="0"/>
        <w:numId w:val="10"/>
      </w:numPr>
      <w:jc w:val="both"/>
    </w:pPr>
    <w:rPr>
      <w:rFonts w:eastAsia="Times New Roman"/>
      <w:kern w:val="2"/>
      <w:sz w:val="20"/>
      <w14:ligatures w14:val="standardContextual"/>
    </w:rPr>
  </w:style>
  <w:style w:type="paragraph" w:styleId="-21" w:customStyle="1">
    <w:name w:val="Таблица - список 2"/>
    <w:basedOn w:val="-11"/>
    <w:qFormat/>
    <w:rsid w:val="00d7235c"/>
    <w:pPr>
      <w:numPr>
        <w:ilvl w:val="1"/>
      </w:numPr>
      <w:ind w:left="0" w:hanging="0"/>
    </w:pPr>
    <w:rPr/>
  </w:style>
  <w:style w:type="paragraph" w:styleId="-31" w:customStyle="1">
    <w:name w:val="Таблица - список 3"/>
    <w:basedOn w:val="-21"/>
    <w:qFormat/>
    <w:rsid w:val="00d7235c"/>
    <w:pPr>
      <w:numPr>
        <w:ilvl w:val="2"/>
      </w:numPr>
      <w:ind w:lef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4"/>
    <w:basedOn w:val="a5"/>
    <w:uiPriority w:val="39"/>
    <w:rsid w:val="00c90e71"/>
    <w:pPr>
      <w:spacing w:before="120"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package" Target="embeddings/oleObject1.docx"/><Relationship Id="rId11" Type="http://schemas.openxmlformats.org/officeDocument/2006/relationships/image" Target="media/image1.wmf"/><Relationship Id="rId12" Type="http://schemas.openxmlformats.org/officeDocument/2006/relationships/package" Target="embeddings/oleObject2.docx"/><Relationship Id="rId13" Type="http://schemas.openxmlformats.org/officeDocument/2006/relationships/image" Target="media/image2.wmf"/><Relationship Id="rId14" Type="http://schemas.openxmlformats.org/officeDocument/2006/relationships/package" Target="embeddings/oleObject3.docx"/><Relationship Id="rId15" Type="http://schemas.openxmlformats.org/officeDocument/2006/relationships/image" Target="media/image3.wmf"/><Relationship Id="rId16" Type="http://schemas.openxmlformats.org/officeDocument/2006/relationships/package" Target="embeddings/oleObject4.docx"/><Relationship Id="rId17" Type="http://schemas.openxmlformats.org/officeDocument/2006/relationships/image" Target="media/image4.wmf"/><Relationship Id="rId18" Type="http://schemas.openxmlformats.org/officeDocument/2006/relationships/package" Target="embeddings/oleObject5.docx"/><Relationship Id="rId19" Type="http://schemas.openxmlformats.org/officeDocument/2006/relationships/image" Target="media/image5.wmf"/><Relationship Id="rId20" Type="http://schemas.openxmlformats.org/officeDocument/2006/relationships/package" Target="embeddings/oleObject6.docx"/><Relationship Id="rId21" Type="http://schemas.openxmlformats.org/officeDocument/2006/relationships/image" Target="media/image6.wmf"/><Relationship Id="rId22" Type="http://schemas.openxmlformats.org/officeDocument/2006/relationships/header" Target="header5.xml"/><Relationship Id="rId23" Type="http://schemas.openxmlformats.org/officeDocument/2006/relationships/header" Target="header6.xml"/><Relationship Id="rId24" Type="http://schemas.openxmlformats.org/officeDocument/2006/relationships/footer" Target="footer5.xml"/><Relationship Id="rId25" Type="http://schemas.openxmlformats.org/officeDocument/2006/relationships/footer" Target="footer6.xml"/><Relationship Id="rId26" Type="http://schemas.openxmlformats.org/officeDocument/2006/relationships/footnotes" Target="footnotes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3886-D2E0-4632-BA88-75C0F1F7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AlterOffice/3.4.0.9$Linux_X86_64 LibreOffice_project/b8daf9e823b1a5463a2f48435ddc2e8696e7d4fc</Application>
  <AppVersion>15.0000</AppVersion>
  <Pages>9</Pages>
  <Words>1520</Words>
  <Characters>10529</Characters>
  <CharactersWithSpaces>11767</CharactersWithSpaces>
  <Paragraphs>251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2025-05-23T07:19:00Z</dcterms:created>
  <dc:creator>Ерин Михаил Владимирович</dc:creator>
  <dc:description/>
  <dc:language>ru-RU</dc:language>
  <cp:lastModifiedBy>erinmv@corp.gidroogk.com</cp:lastModifiedBy>
  <cp:lastPrinted>2006-07-26T14:04:00Z</cp:lastPrinted>
  <dcterms:modified xsi:type="dcterms:W3CDTF">2026-06-17T08:37:34Z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